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5DF3" w14:textId="77777777" w:rsidR="00FF7699" w:rsidRDefault="00FF7699" w:rsidP="00071363"/>
    <w:p w14:paraId="26334ACE" w14:textId="71A3441C" w:rsidR="004C2A57" w:rsidRPr="004C2A57" w:rsidRDefault="00022388" w:rsidP="004C2A57">
      <w:pPr>
        <w:rPr>
          <w:b/>
          <w:bCs/>
        </w:rPr>
      </w:pPr>
      <w:r>
        <w:rPr>
          <w:b/>
          <w:bCs/>
        </w:rPr>
        <w:t>FAIRFORD TOWN COUNCIL</w:t>
      </w:r>
    </w:p>
    <w:p w14:paraId="18C9810D" w14:textId="77777777" w:rsidR="004C2A57" w:rsidRPr="004C2A57" w:rsidRDefault="004C2A57" w:rsidP="004C2A57">
      <w:pPr>
        <w:rPr>
          <w:sz w:val="28"/>
          <w:szCs w:val="28"/>
        </w:rPr>
      </w:pPr>
      <w:r w:rsidRPr="004C2A57">
        <w:rPr>
          <w:b/>
          <w:bCs/>
          <w:sz w:val="28"/>
          <w:szCs w:val="28"/>
        </w:rPr>
        <w:t>Document Retention and Disposal Policy</w:t>
      </w:r>
    </w:p>
    <w:p w14:paraId="05689CC1" w14:textId="77777777" w:rsidR="004C2A57" w:rsidRPr="004C2A57" w:rsidRDefault="004C2A57" w:rsidP="004C2A57">
      <w:r w:rsidRPr="004C2A57">
        <w:rPr>
          <w:b/>
          <w:bCs/>
        </w:rPr>
        <w:t>Adopted:</w:t>
      </w:r>
      <w:r w:rsidRPr="004C2A57">
        <w:t xml:space="preserve"> [Date]</w:t>
      </w:r>
      <w:r w:rsidRPr="004C2A57">
        <w:br/>
      </w:r>
      <w:r w:rsidRPr="004C2A57">
        <w:rPr>
          <w:b/>
          <w:bCs/>
        </w:rPr>
        <w:t>Next Review Due:</w:t>
      </w:r>
      <w:r w:rsidRPr="004C2A57">
        <w:t xml:space="preserve"> [Date]</w:t>
      </w:r>
    </w:p>
    <w:p w14:paraId="1952411A" w14:textId="485555C3" w:rsidR="004C2A57" w:rsidRPr="004C2A57" w:rsidRDefault="004C2A57" w:rsidP="004C2A57"/>
    <w:p w14:paraId="039843A3" w14:textId="77777777" w:rsidR="004C2A57" w:rsidRPr="004C2A57" w:rsidRDefault="004C2A57" w:rsidP="004C2A57">
      <w:pPr>
        <w:rPr>
          <w:b/>
          <w:bCs/>
        </w:rPr>
      </w:pPr>
      <w:r w:rsidRPr="004C2A57">
        <w:rPr>
          <w:b/>
          <w:bCs/>
        </w:rPr>
        <w:t>1. Introduction</w:t>
      </w:r>
    </w:p>
    <w:p w14:paraId="036778BE" w14:textId="77777777" w:rsidR="004C2A57" w:rsidRPr="004C2A57" w:rsidRDefault="004C2A57" w:rsidP="004C2A57">
      <w:r w:rsidRPr="004C2A57">
        <w:t>Parish and town councils are legally required to create, maintain, and safeguard documents relating to governance, decisions, finances, and administration. They must also make certain records available for inspection, respond to requests for information, and securely dispose of records when they are no longer needed.</w:t>
      </w:r>
    </w:p>
    <w:p w14:paraId="338FD12A" w14:textId="364C8C40" w:rsidR="004C2A57" w:rsidRPr="004C2A57" w:rsidRDefault="004C2A57" w:rsidP="004C2A57">
      <w:r w:rsidRPr="004C2A57">
        <w:t xml:space="preserve">This policy sets out </w:t>
      </w:r>
      <w:r w:rsidR="00022388">
        <w:t>Fairford’s</w:t>
      </w:r>
      <w:r w:rsidRPr="004C2A57">
        <w:t xml:space="preserve"> approach to retention, storage, and disposal of documents. It ensures compliance with statutory duties, supports transparency, protects personal data, and provides clear operational guidance for councillors, staff, and auditors.</w:t>
      </w:r>
    </w:p>
    <w:p w14:paraId="2F57FE51" w14:textId="462F2976" w:rsidR="004C2A57" w:rsidRPr="004C2A57" w:rsidRDefault="004C2A57" w:rsidP="004C2A57"/>
    <w:p w14:paraId="5DC43CE5" w14:textId="77777777" w:rsidR="004C2A57" w:rsidRPr="004C2A57" w:rsidRDefault="004C2A57" w:rsidP="004C2A57">
      <w:pPr>
        <w:rPr>
          <w:b/>
          <w:bCs/>
        </w:rPr>
      </w:pPr>
      <w:r w:rsidRPr="004C2A57">
        <w:rPr>
          <w:b/>
          <w:bCs/>
        </w:rPr>
        <w:t>2. Legal and Best Practice Framework</w:t>
      </w:r>
    </w:p>
    <w:p w14:paraId="4C61045E" w14:textId="77777777" w:rsidR="004C2A57" w:rsidRPr="004C2A57" w:rsidRDefault="004C2A57" w:rsidP="004C2A57">
      <w:r w:rsidRPr="004C2A57">
        <w:t>The Council’s duties arise from:</w:t>
      </w:r>
    </w:p>
    <w:p w14:paraId="40F1688F" w14:textId="77777777" w:rsidR="004C2A57" w:rsidRPr="004C2A57" w:rsidRDefault="004C2A57" w:rsidP="004C2A57">
      <w:pPr>
        <w:numPr>
          <w:ilvl w:val="0"/>
          <w:numId w:val="2"/>
        </w:numPr>
      </w:pPr>
      <w:r w:rsidRPr="004C2A57">
        <w:rPr>
          <w:b/>
          <w:bCs/>
        </w:rPr>
        <w:t>Local Government Act 1972</w:t>
      </w:r>
      <w:r w:rsidRPr="004C2A57">
        <w:t xml:space="preserve"> – requires safe custody of minutes, byelaws, maps, and other key records.</w:t>
      </w:r>
    </w:p>
    <w:p w14:paraId="08450AB2" w14:textId="77777777" w:rsidR="004C2A57" w:rsidRPr="004C2A57" w:rsidRDefault="004C2A57" w:rsidP="004C2A57">
      <w:pPr>
        <w:numPr>
          <w:ilvl w:val="0"/>
          <w:numId w:val="2"/>
        </w:numPr>
      </w:pPr>
      <w:r w:rsidRPr="004C2A57">
        <w:rPr>
          <w:b/>
          <w:bCs/>
        </w:rPr>
        <w:t>Accounts and Audit Regulations 2015</w:t>
      </w:r>
      <w:r w:rsidRPr="004C2A57">
        <w:t xml:space="preserve"> – require accounting records and supporting information to be retained for audit.</w:t>
      </w:r>
    </w:p>
    <w:p w14:paraId="5BB812D9" w14:textId="77777777" w:rsidR="004C2A57" w:rsidRPr="004C2A57" w:rsidRDefault="004C2A57" w:rsidP="004C2A57">
      <w:pPr>
        <w:numPr>
          <w:ilvl w:val="0"/>
          <w:numId w:val="2"/>
        </w:numPr>
      </w:pPr>
      <w:r w:rsidRPr="004C2A57">
        <w:rPr>
          <w:b/>
          <w:bCs/>
        </w:rPr>
        <w:t>Freedom of Information Act 2000 (FOIA)</w:t>
      </w:r>
      <w:r w:rsidRPr="004C2A57">
        <w:t xml:space="preserve"> – requires councils to adopt a Publication Scheme and manage records properly (s.46 Code of Practice).</w:t>
      </w:r>
    </w:p>
    <w:p w14:paraId="3FB7F3E9" w14:textId="77777777" w:rsidR="004C2A57" w:rsidRPr="004C2A57" w:rsidRDefault="004C2A57" w:rsidP="004C2A57">
      <w:pPr>
        <w:numPr>
          <w:ilvl w:val="0"/>
          <w:numId w:val="2"/>
        </w:numPr>
      </w:pPr>
      <w:r w:rsidRPr="004C2A57">
        <w:rPr>
          <w:b/>
          <w:bCs/>
        </w:rPr>
        <w:t>Data Protection Act 2018 and UK GDPR</w:t>
      </w:r>
      <w:r w:rsidRPr="004C2A57">
        <w:t xml:space="preserve"> – require personal data to be kept no longer than necessary, and disposed of securely.</w:t>
      </w:r>
    </w:p>
    <w:p w14:paraId="0F150CC3" w14:textId="77777777" w:rsidR="004C2A57" w:rsidRPr="004C2A57" w:rsidRDefault="004C2A57" w:rsidP="004C2A57">
      <w:pPr>
        <w:numPr>
          <w:ilvl w:val="0"/>
          <w:numId w:val="2"/>
        </w:numPr>
      </w:pPr>
      <w:r w:rsidRPr="004C2A57">
        <w:rPr>
          <w:b/>
          <w:bCs/>
        </w:rPr>
        <w:t>Limitation Act 1980</w:t>
      </w:r>
      <w:r w:rsidRPr="004C2A57">
        <w:t xml:space="preserve"> – requires certain documents to be retained for up to 6 or 12 years in case of legal claims.</w:t>
      </w:r>
    </w:p>
    <w:p w14:paraId="35974385" w14:textId="77777777" w:rsidR="004C2A57" w:rsidRPr="004C2A57" w:rsidRDefault="004C2A57" w:rsidP="004C2A57">
      <w:pPr>
        <w:numPr>
          <w:ilvl w:val="0"/>
          <w:numId w:val="2"/>
        </w:numPr>
      </w:pPr>
      <w:r w:rsidRPr="004C2A57">
        <w:rPr>
          <w:b/>
          <w:bCs/>
        </w:rPr>
        <w:t>Health and Safety legislation</w:t>
      </w:r>
      <w:r w:rsidRPr="004C2A57">
        <w:t xml:space="preserve"> – requires accident and injury records to be retained (generally 3 years).</w:t>
      </w:r>
    </w:p>
    <w:p w14:paraId="07062561" w14:textId="77777777" w:rsidR="004C2A57" w:rsidRPr="004C2A57" w:rsidRDefault="004C2A57" w:rsidP="004C2A57">
      <w:pPr>
        <w:numPr>
          <w:ilvl w:val="0"/>
          <w:numId w:val="2"/>
        </w:numPr>
      </w:pPr>
      <w:r w:rsidRPr="004C2A57">
        <w:rPr>
          <w:b/>
          <w:bCs/>
        </w:rPr>
        <w:t>Employment and tax law</w:t>
      </w:r>
      <w:r w:rsidRPr="004C2A57">
        <w:t xml:space="preserve"> – requires payroll and personnel records to be kept (generally 6 years).</w:t>
      </w:r>
    </w:p>
    <w:p w14:paraId="11D4A879" w14:textId="77777777" w:rsidR="004C2A57" w:rsidRPr="004C2A57" w:rsidRDefault="004C2A57" w:rsidP="004C2A57">
      <w:pPr>
        <w:numPr>
          <w:ilvl w:val="0"/>
          <w:numId w:val="2"/>
        </w:numPr>
      </w:pPr>
      <w:r w:rsidRPr="004C2A57">
        <w:rPr>
          <w:b/>
          <w:bCs/>
        </w:rPr>
        <w:t>Community Infrastructure Levy (CIL) Regulations</w:t>
      </w:r>
      <w:r w:rsidRPr="004C2A57">
        <w:t xml:space="preserve"> – require CIL reporting records to be retained.</w:t>
      </w:r>
    </w:p>
    <w:p w14:paraId="264FE035" w14:textId="77777777" w:rsidR="004C2A57" w:rsidRDefault="004C2A57" w:rsidP="004C2A57">
      <w:pPr>
        <w:numPr>
          <w:ilvl w:val="0"/>
          <w:numId w:val="2"/>
        </w:numPr>
      </w:pPr>
      <w:r w:rsidRPr="004C2A57">
        <w:rPr>
          <w:b/>
          <w:bCs/>
        </w:rPr>
        <w:t>Local Authorities’ Cemeteries Order 1977</w:t>
      </w:r>
      <w:r w:rsidRPr="004C2A57">
        <w:t xml:space="preserve"> – requires burial registers and related records to be kept permanently.</w:t>
      </w:r>
    </w:p>
    <w:p w14:paraId="5F3FAADD" w14:textId="77777777" w:rsidR="00022388" w:rsidRPr="004C2A57" w:rsidRDefault="00022388" w:rsidP="00022388">
      <w:pPr>
        <w:ind w:left="720"/>
      </w:pPr>
    </w:p>
    <w:p w14:paraId="61591836" w14:textId="77777777" w:rsidR="004C2A57" w:rsidRPr="004C2A57" w:rsidRDefault="004C2A57" w:rsidP="004C2A57">
      <w:r w:rsidRPr="004C2A57">
        <w:rPr>
          <w:b/>
          <w:bCs/>
        </w:rPr>
        <w:lastRenderedPageBreak/>
        <w:t>Best practice sources include:</w:t>
      </w:r>
    </w:p>
    <w:p w14:paraId="3202A9FB" w14:textId="77777777" w:rsidR="004C2A57" w:rsidRPr="004C2A57" w:rsidRDefault="004C2A57" w:rsidP="004C2A57">
      <w:pPr>
        <w:numPr>
          <w:ilvl w:val="0"/>
          <w:numId w:val="3"/>
        </w:numPr>
      </w:pPr>
      <w:r w:rsidRPr="004C2A57">
        <w:rPr>
          <w:b/>
          <w:bCs/>
        </w:rPr>
        <w:t>JPAG Practitioners’ Guide 2025</w:t>
      </w:r>
      <w:r w:rsidRPr="004C2A57">
        <w:t xml:space="preserve"> – identifies records management as part of proper internal control.</w:t>
      </w:r>
    </w:p>
    <w:p w14:paraId="2B3FDE46" w14:textId="5CE8D815" w:rsidR="004C2A57" w:rsidRPr="004C2A57" w:rsidRDefault="004C2A57" w:rsidP="004C2A57">
      <w:pPr>
        <w:numPr>
          <w:ilvl w:val="0"/>
          <w:numId w:val="3"/>
        </w:numPr>
      </w:pPr>
      <w:r w:rsidRPr="004C2A57">
        <w:rPr>
          <w:b/>
          <w:bCs/>
        </w:rPr>
        <w:t>NALC LTN 40</w:t>
      </w:r>
      <w:r w:rsidRPr="004C2A57">
        <w:t>.</w:t>
      </w:r>
    </w:p>
    <w:p w14:paraId="4C3EDFF9" w14:textId="77777777" w:rsidR="004C2A57" w:rsidRPr="004C2A57" w:rsidRDefault="004C2A57" w:rsidP="004C2A57">
      <w:pPr>
        <w:numPr>
          <w:ilvl w:val="0"/>
          <w:numId w:val="3"/>
        </w:numPr>
      </w:pPr>
      <w:r w:rsidRPr="004C2A57">
        <w:rPr>
          <w:b/>
          <w:bCs/>
        </w:rPr>
        <w:t>ICO Records Management Code (s.46 FOIA)</w:t>
      </w:r>
      <w:r w:rsidRPr="004C2A57">
        <w:t xml:space="preserve"> – national standards on retention, disposal, and record-keeping.</w:t>
      </w:r>
    </w:p>
    <w:p w14:paraId="16349DCE" w14:textId="77777777" w:rsidR="004C2A57" w:rsidRPr="004C2A57" w:rsidRDefault="004C2A57" w:rsidP="004C2A57">
      <w:pPr>
        <w:rPr>
          <w:b/>
          <w:bCs/>
        </w:rPr>
      </w:pPr>
      <w:r w:rsidRPr="004C2A57">
        <w:rPr>
          <w:b/>
          <w:bCs/>
        </w:rPr>
        <w:t>3. Policy Statement</w:t>
      </w:r>
    </w:p>
    <w:p w14:paraId="7B9696AA" w14:textId="0D7D9B24" w:rsidR="004C2A57" w:rsidRPr="004C2A57" w:rsidRDefault="00022388" w:rsidP="004C2A57">
      <w:r>
        <w:t>Fairford Town Council</w:t>
      </w:r>
      <w:r w:rsidR="004C2A57" w:rsidRPr="004C2A57">
        <w:t xml:space="preserve"> will:</w:t>
      </w:r>
    </w:p>
    <w:p w14:paraId="5B1EE5C0" w14:textId="77777777" w:rsidR="004C2A57" w:rsidRPr="004C2A57" w:rsidRDefault="004C2A57" w:rsidP="004C2A57">
      <w:pPr>
        <w:numPr>
          <w:ilvl w:val="0"/>
          <w:numId w:val="4"/>
        </w:numPr>
      </w:pPr>
      <w:r w:rsidRPr="004C2A57">
        <w:t>Retain records for as long as required by law or best practice.</w:t>
      </w:r>
    </w:p>
    <w:p w14:paraId="4B60E977" w14:textId="77777777" w:rsidR="004C2A57" w:rsidRPr="004C2A57" w:rsidRDefault="004C2A57" w:rsidP="004C2A57">
      <w:pPr>
        <w:numPr>
          <w:ilvl w:val="0"/>
          <w:numId w:val="4"/>
        </w:numPr>
      </w:pPr>
      <w:r w:rsidRPr="004C2A57">
        <w:t>Dispose of records securely once they are no longer required.</w:t>
      </w:r>
    </w:p>
    <w:p w14:paraId="5FE95797" w14:textId="77777777" w:rsidR="004C2A57" w:rsidRPr="004C2A57" w:rsidRDefault="004C2A57" w:rsidP="004C2A57">
      <w:pPr>
        <w:numPr>
          <w:ilvl w:val="0"/>
          <w:numId w:val="4"/>
        </w:numPr>
      </w:pPr>
      <w:r w:rsidRPr="004C2A57">
        <w:t>Maintain a Retention Schedule (Appendix A) covering all classes of records.</w:t>
      </w:r>
    </w:p>
    <w:p w14:paraId="15D22223" w14:textId="77777777" w:rsidR="004C2A57" w:rsidRPr="004C2A57" w:rsidRDefault="004C2A57" w:rsidP="004C2A57">
      <w:pPr>
        <w:numPr>
          <w:ilvl w:val="0"/>
          <w:numId w:val="4"/>
        </w:numPr>
      </w:pPr>
      <w:r w:rsidRPr="004C2A57">
        <w:t>Keep a Disposal Log recording all authorised destructions.</w:t>
      </w:r>
    </w:p>
    <w:p w14:paraId="397449DE" w14:textId="77777777" w:rsidR="004C2A57" w:rsidRPr="004C2A57" w:rsidRDefault="004C2A57" w:rsidP="004C2A57">
      <w:pPr>
        <w:numPr>
          <w:ilvl w:val="0"/>
          <w:numId w:val="4"/>
        </w:numPr>
      </w:pPr>
      <w:r w:rsidRPr="004C2A57">
        <w:t>Pause disposal if litigation, FOI/EIR requests, or subject access requests are anticipated.</w:t>
      </w:r>
    </w:p>
    <w:p w14:paraId="3D42A97B" w14:textId="77777777" w:rsidR="004C2A57" w:rsidRPr="004C2A57" w:rsidRDefault="004C2A57" w:rsidP="004C2A57">
      <w:pPr>
        <w:numPr>
          <w:ilvl w:val="0"/>
          <w:numId w:val="4"/>
        </w:numPr>
      </w:pPr>
      <w:r w:rsidRPr="004C2A57">
        <w:t>Review this policy every three years, or sooner if legislation or best practice changes.</w:t>
      </w:r>
    </w:p>
    <w:p w14:paraId="031E4A47" w14:textId="77777777" w:rsidR="004C2A57" w:rsidRPr="004C2A57" w:rsidRDefault="004C2A57" w:rsidP="004C2A57">
      <w:pPr>
        <w:rPr>
          <w:b/>
          <w:bCs/>
        </w:rPr>
      </w:pPr>
      <w:r w:rsidRPr="004C2A57">
        <w:rPr>
          <w:b/>
          <w:bCs/>
        </w:rPr>
        <w:t>4. Roles and Responsibilities</w:t>
      </w:r>
    </w:p>
    <w:p w14:paraId="3C142543" w14:textId="77777777" w:rsidR="004C2A57" w:rsidRPr="004C2A57" w:rsidRDefault="004C2A57" w:rsidP="004C2A57">
      <w:pPr>
        <w:numPr>
          <w:ilvl w:val="0"/>
          <w:numId w:val="5"/>
        </w:numPr>
      </w:pPr>
      <w:r w:rsidRPr="004C2A57">
        <w:t>The Clerk is the Council’s Records Manager and has overall responsibility for implementing this policy.</w:t>
      </w:r>
    </w:p>
    <w:p w14:paraId="6BE66045" w14:textId="77777777" w:rsidR="004C2A57" w:rsidRPr="004C2A57" w:rsidRDefault="004C2A57" w:rsidP="004C2A57">
      <w:pPr>
        <w:numPr>
          <w:ilvl w:val="0"/>
          <w:numId w:val="5"/>
        </w:numPr>
      </w:pPr>
      <w:r w:rsidRPr="004C2A57">
        <w:t>If appointed, the Data Protection Officer (DPO) will monitor compliance with GDPR-related retention and disposal.</w:t>
      </w:r>
    </w:p>
    <w:p w14:paraId="00081B40" w14:textId="77777777" w:rsidR="004C2A57" w:rsidRPr="004C2A57" w:rsidRDefault="004C2A57" w:rsidP="004C2A57">
      <w:pPr>
        <w:numPr>
          <w:ilvl w:val="0"/>
          <w:numId w:val="5"/>
        </w:numPr>
      </w:pPr>
      <w:r w:rsidRPr="004C2A57">
        <w:t>All councillors, staff, and contractors must follow this policy when handling council information.</w:t>
      </w:r>
    </w:p>
    <w:p w14:paraId="520A142E" w14:textId="77777777" w:rsidR="004C2A57" w:rsidRPr="004C2A57" w:rsidRDefault="004C2A57" w:rsidP="004C2A57">
      <w:pPr>
        <w:numPr>
          <w:ilvl w:val="0"/>
          <w:numId w:val="5"/>
        </w:numPr>
      </w:pPr>
      <w:r w:rsidRPr="004C2A57">
        <w:t>The Clerk/DPO will carry out spot-checks and report findings to Council.</w:t>
      </w:r>
    </w:p>
    <w:p w14:paraId="282C83A4" w14:textId="77777777" w:rsidR="004C2A57" w:rsidRPr="004C2A57" w:rsidRDefault="004C2A57" w:rsidP="004C2A57">
      <w:pPr>
        <w:rPr>
          <w:b/>
          <w:bCs/>
        </w:rPr>
      </w:pPr>
      <w:r w:rsidRPr="004C2A57">
        <w:rPr>
          <w:b/>
          <w:bCs/>
        </w:rPr>
        <w:t>5. Storage and Security</w:t>
      </w:r>
    </w:p>
    <w:p w14:paraId="4EC305B1" w14:textId="4A03B6BA" w:rsidR="004C2A57" w:rsidRPr="004C2A57" w:rsidRDefault="004C2A57" w:rsidP="004C2A57">
      <w:pPr>
        <w:numPr>
          <w:ilvl w:val="0"/>
          <w:numId w:val="6"/>
        </w:numPr>
      </w:pPr>
      <w:r w:rsidRPr="004C2A57">
        <w:t>Paper records will be stored in locked cabinets</w:t>
      </w:r>
      <w:r w:rsidR="00317258">
        <w:t xml:space="preserve">. </w:t>
      </w:r>
      <w:r w:rsidR="00317258" w:rsidRPr="00317258">
        <w:t>Where the Council has a dedicated office, records will be kept on site with controlled access. Where the Clerk works from home, the Clerk’s designated storage area will serve as the Council’s office for these purposes, and paper records must be stored in lockable, fire-safe cabinets or equivalent secure storage.</w:t>
      </w:r>
    </w:p>
    <w:p w14:paraId="15BC4A40" w14:textId="77777777" w:rsidR="003E2684" w:rsidRDefault="003E2684" w:rsidP="003E2684">
      <w:pPr>
        <w:numPr>
          <w:ilvl w:val="0"/>
          <w:numId w:val="6"/>
        </w:numPr>
      </w:pPr>
      <w:r>
        <w:t>Electronic records will be held in secure, backed-up systems with role-based access controls. Where cloud-based storage is used, it must be:</w:t>
      </w:r>
    </w:p>
    <w:p w14:paraId="5C483B76" w14:textId="491DC285" w:rsidR="003E2684" w:rsidRDefault="003E2684" w:rsidP="003E2684">
      <w:pPr>
        <w:numPr>
          <w:ilvl w:val="0"/>
          <w:numId w:val="10"/>
        </w:numPr>
      </w:pPr>
      <w:r>
        <w:t>Provided under a council-owned account or domain (not personal accounts).</w:t>
      </w:r>
    </w:p>
    <w:p w14:paraId="4E3E23B0" w14:textId="77777777" w:rsidR="003E2684" w:rsidRDefault="003E2684" w:rsidP="003E2684">
      <w:pPr>
        <w:numPr>
          <w:ilvl w:val="0"/>
          <w:numId w:val="10"/>
        </w:numPr>
      </w:pPr>
      <w:r>
        <w:t>Hosted on servers that meet recognised security standards (e.g. ISO 27001, UK GDPR-compliant, data hosted in the UK/EEA).</w:t>
      </w:r>
    </w:p>
    <w:p w14:paraId="17CD11D8" w14:textId="77777777" w:rsidR="003E2684" w:rsidRDefault="003E2684" w:rsidP="003E2684">
      <w:pPr>
        <w:numPr>
          <w:ilvl w:val="0"/>
          <w:numId w:val="10"/>
        </w:numPr>
      </w:pPr>
      <w:r>
        <w:t>Backed up regularly, with clear arrangements for recovery in case of data loss.</w:t>
      </w:r>
    </w:p>
    <w:p w14:paraId="5CB80C07" w14:textId="688E03B6" w:rsidR="004C2A57" w:rsidRPr="004C2A57" w:rsidRDefault="004C2A57" w:rsidP="003E2684">
      <w:pPr>
        <w:numPr>
          <w:ilvl w:val="0"/>
          <w:numId w:val="6"/>
        </w:numPr>
      </w:pPr>
      <w:r w:rsidRPr="004C2A57">
        <w:lastRenderedPageBreak/>
        <w:t>Council emails must be sent and received only through an official council domain (not personal accounts).</w:t>
      </w:r>
      <w:r w:rsidR="007A69C1">
        <w:t xml:space="preserve"> </w:t>
      </w:r>
      <w:r w:rsidR="007A69C1" w:rsidRPr="007A69C1">
        <w:t>This ensures that records are properly managed, retained, and accessible under FOI and GDPR.</w:t>
      </w:r>
    </w:p>
    <w:p w14:paraId="1BB23D24" w14:textId="77777777" w:rsidR="004C2A57" w:rsidRPr="004C2A57" w:rsidRDefault="004C2A57" w:rsidP="004C2A57">
      <w:pPr>
        <w:numPr>
          <w:ilvl w:val="0"/>
          <w:numId w:val="6"/>
        </w:numPr>
      </w:pPr>
      <w:r w:rsidRPr="004C2A57">
        <w:t>Website content and social media posts that constitute official council business are covered by this policy.</w:t>
      </w:r>
    </w:p>
    <w:p w14:paraId="1FE04454" w14:textId="77777777" w:rsidR="004C2A57" w:rsidRPr="004C2A57" w:rsidRDefault="004C2A57" w:rsidP="004C2A57">
      <w:pPr>
        <w:numPr>
          <w:ilvl w:val="0"/>
          <w:numId w:val="6"/>
        </w:numPr>
      </w:pPr>
      <w:r w:rsidRPr="004C2A57">
        <w:t>Records of permanent or historical value may be transferred to the County Archives by agreement.</w:t>
      </w:r>
    </w:p>
    <w:p w14:paraId="0C6D2953" w14:textId="77777777" w:rsidR="004C2A57" w:rsidRPr="004C2A57" w:rsidRDefault="004C2A57" w:rsidP="004C2A57">
      <w:pPr>
        <w:rPr>
          <w:b/>
          <w:bCs/>
        </w:rPr>
      </w:pPr>
      <w:r w:rsidRPr="004C2A57">
        <w:rPr>
          <w:b/>
          <w:bCs/>
        </w:rPr>
        <w:t>6. Suspension of Disposal (“Litigation Hold”)</w:t>
      </w:r>
    </w:p>
    <w:p w14:paraId="52D70B06" w14:textId="719D672D" w:rsidR="004C2A57" w:rsidRPr="004C2A57" w:rsidRDefault="003A097A" w:rsidP="004C2A57">
      <w:r w:rsidRPr="003A097A">
        <w:t>Where litigation, audit investigation, FOI, EIR, or Subject Access Requests are reasonably anticipated, the Clerk will suspend routine destruction of all relevant records until the matter has been resolved.</w:t>
      </w:r>
    </w:p>
    <w:p w14:paraId="7FF56CC8" w14:textId="77777777" w:rsidR="004C2A57" w:rsidRPr="004C2A57" w:rsidRDefault="004C2A57" w:rsidP="004C2A57">
      <w:pPr>
        <w:rPr>
          <w:b/>
          <w:bCs/>
        </w:rPr>
      </w:pPr>
      <w:r w:rsidRPr="004C2A57">
        <w:rPr>
          <w:b/>
          <w:bCs/>
        </w:rPr>
        <w:t>7. Disposal of Documents</w:t>
      </w:r>
    </w:p>
    <w:p w14:paraId="055B353D" w14:textId="0D11C5C8" w:rsidR="004C2A57" w:rsidRPr="004C2A57" w:rsidRDefault="004C2A57" w:rsidP="004C2A57">
      <w:pPr>
        <w:numPr>
          <w:ilvl w:val="0"/>
          <w:numId w:val="7"/>
        </w:numPr>
      </w:pPr>
      <w:r w:rsidRPr="004C2A57">
        <w:rPr>
          <w:b/>
          <w:bCs/>
        </w:rPr>
        <w:t>Paper records</w:t>
      </w:r>
      <w:r w:rsidRPr="004C2A57">
        <w:t xml:space="preserve"> will be shredded </w:t>
      </w:r>
      <w:r w:rsidR="00022388">
        <w:t>either in house or using suitable contractor for shredding of documents.</w:t>
      </w:r>
    </w:p>
    <w:p w14:paraId="17160CF3" w14:textId="77777777" w:rsidR="004C2A57" w:rsidRPr="004C2A57" w:rsidRDefault="004C2A57" w:rsidP="004C2A57">
      <w:pPr>
        <w:numPr>
          <w:ilvl w:val="0"/>
          <w:numId w:val="7"/>
        </w:numPr>
      </w:pPr>
      <w:r w:rsidRPr="004C2A57">
        <w:rPr>
          <w:b/>
          <w:bCs/>
        </w:rPr>
        <w:t>Electronic records</w:t>
      </w:r>
      <w:r w:rsidRPr="004C2A57">
        <w:t xml:space="preserve"> will be permanently deleted, including from backups where possible.</w:t>
      </w:r>
    </w:p>
    <w:p w14:paraId="43FB8B10" w14:textId="77777777" w:rsidR="004C2A57" w:rsidRPr="004C2A57" w:rsidRDefault="004C2A57" w:rsidP="004C2A57">
      <w:pPr>
        <w:numPr>
          <w:ilvl w:val="0"/>
          <w:numId w:val="7"/>
        </w:numPr>
      </w:pPr>
      <w:r w:rsidRPr="004C2A57">
        <w:t xml:space="preserve">Destruction must be authorised by the Clerk and recorded in the </w:t>
      </w:r>
      <w:r w:rsidRPr="004C2A57">
        <w:rPr>
          <w:b/>
          <w:bCs/>
        </w:rPr>
        <w:t>Disposal Log</w:t>
      </w:r>
      <w:r w:rsidRPr="004C2A57">
        <w:t xml:space="preserve"> (kept for 6 years).</w:t>
      </w:r>
    </w:p>
    <w:p w14:paraId="2412B4EA" w14:textId="77777777" w:rsidR="004C2A57" w:rsidRPr="004C2A57" w:rsidRDefault="004C2A57" w:rsidP="004C2A57">
      <w:pPr>
        <w:numPr>
          <w:ilvl w:val="0"/>
          <w:numId w:val="7"/>
        </w:numPr>
      </w:pPr>
      <w:r w:rsidRPr="004C2A57">
        <w:t xml:space="preserve">Where third-party services are used (e.g. IT providers or secure shredding companies), the Clerk must obtain a </w:t>
      </w:r>
      <w:r w:rsidRPr="004C2A57">
        <w:rPr>
          <w:b/>
          <w:bCs/>
        </w:rPr>
        <w:t>certificate of destruction</w:t>
      </w:r>
      <w:r w:rsidRPr="004C2A57">
        <w:t>.</w:t>
      </w:r>
    </w:p>
    <w:p w14:paraId="0124C336" w14:textId="77777777" w:rsidR="004C2A57" w:rsidRPr="004C2A57" w:rsidRDefault="004C2A57" w:rsidP="004C2A57">
      <w:pPr>
        <w:rPr>
          <w:b/>
          <w:bCs/>
        </w:rPr>
      </w:pPr>
      <w:r w:rsidRPr="004C2A57">
        <w:rPr>
          <w:b/>
          <w:bCs/>
        </w:rPr>
        <w:t>8. Training and Awareness</w:t>
      </w:r>
    </w:p>
    <w:p w14:paraId="7A61B293" w14:textId="77777777" w:rsidR="004C2A57" w:rsidRPr="004C2A57" w:rsidRDefault="004C2A57" w:rsidP="004C2A57">
      <w:pPr>
        <w:numPr>
          <w:ilvl w:val="0"/>
          <w:numId w:val="8"/>
        </w:numPr>
      </w:pPr>
      <w:r w:rsidRPr="004C2A57">
        <w:t>New councillors and staff will be briefed on this policy at induction.</w:t>
      </w:r>
    </w:p>
    <w:p w14:paraId="110CA7F1" w14:textId="77777777" w:rsidR="004C2A57" w:rsidRPr="004C2A57" w:rsidRDefault="004C2A57" w:rsidP="004C2A57">
      <w:pPr>
        <w:numPr>
          <w:ilvl w:val="0"/>
          <w:numId w:val="8"/>
        </w:numPr>
      </w:pPr>
      <w:r w:rsidRPr="004C2A57">
        <w:t>The Clerk will provide an annual reminder as part of the policy review cycle.</w:t>
      </w:r>
    </w:p>
    <w:p w14:paraId="3D5CA1D1" w14:textId="19C539BF" w:rsidR="7387A2EB" w:rsidRPr="00022388" w:rsidRDefault="004C2A57" w:rsidP="7387A2EB">
      <w:pPr>
        <w:numPr>
          <w:ilvl w:val="0"/>
          <w:numId w:val="8"/>
        </w:numPr>
        <w:rPr>
          <w:b/>
          <w:bCs/>
        </w:rPr>
      </w:pPr>
      <w:r w:rsidRPr="004C2A57">
        <w:t>Where needed, training will be arranged on data protection, information security, and records management.</w:t>
      </w:r>
    </w:p>
    <w:p w14:paraId="69D614A1" w14:textId="77777777" w:rsidR="004C2A57" w:rsidRPr="004C2A57" w:rsidRDefault="004C2A57" w:rsidP="004C2A57">
      <w:pPr>
        <w:rPr>
          <w:b/>
          <w:bCs/>
        </w:rPr>
      </w:pPr>
      <w:r w:rsidRPr="004C2A57">
        <w:rPr>
          <w:b/>
          <w:bCs/>
        </w:rPr>
        <w:t>Appendix A – Retention Schedule</w:t>
      </w:r>
    </w:p>
    <w:tbl>
      <w:tblPr>
        <w:tblW w:w="0" w:type="auto"/>
        <w:tblCellSpacing w:w="1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15" w:type="dxa"/>
          <w:left w:w="15" w:type="dxa"/>
          <w:bottom w:w="15" w:type="dxa"/>
          <w:right w:w="15" w:type="dxa"/>
        </w:tblCellMar>
        <w:tblLook w:val="04A0" w:firstRow="1" w:lastRow="0" w:firstColumn="1" w:lastColumn="0" w:noHBand="0" w:noVBand="1"/>
      </w:tblPr>
      <w:tblGrid>
        <w:gridCol w:w="3340"/>
        <w:gridCol w:w="3772"/>
        <w:gridCol w:w="1908"/>
      </w:tblGrid>
      <w:tr w:rsidR="004C2A57" w:rsidRPr="004C2A57" w14:paraId="02DF08D5" w14:textId="77777777" w:rsidTr="7387A2EB">
        <w:trPr>
          <w:tblHeader/>
          <w:tblCellSpacing w:w="15" w:type="dxa"/>
        </w:trPr>
        <w:tc>
          <w:tcPr>
            <w:tcW w:w="0" w:type="auto"/>
            <w:vAlign w:val="center"/>
            <w:hideMark/>
          </w:tcPr>
          <w:p w14:paraId="54E263DE" w14:textId="77777777" w:rsidR="004C2A57" w:rsidRPr="004C2A57" w:rsidRDefault="004C2A57" w:rsidP="004C2A57">
            <w:pPr>
              <w:rPr>
                <w:b/>
                <w:bCs/>
              </w:rPr>
            </w:pPr>
            <w:r w:rsidRPr="004C2A57">
              <w:rPr>
                <w:b/>
                <w:bCs/>
              </w:rPr>
              <w:t>Record Type</w:t>
            </w:r>
          </w:p>
        </w:tc>
        <w:tc>
          <w:tcPr>
            <w:tcW w:w="0" w:type="auto"/>
            <w:vAlign w:val="center"/>
            <w:hideMark/>
          </w:tcPr>
          <w:p w14:paraId="0C1E0D66" w14:textId="77777777" w:rsidR="004C2A57" w:rsidRPr="004C2A57" w:rsidRDefault="004C2A57" w:rsidP="004C2A57">
            <w:pPr>
              <w:rPr>
                <w:b/>
                <w:bCs/>
              </w:rPr>
            </w:pPr>
            <w:r w:rsidRPr="004C2A57">
              <w:rPr>
                <w:b/>
                <w:bCs/>
              </w:rPr>
              <w:t>Minimum Retention Period</w:t>
            </w:r>
          </w:p>
        </w:tc>
        <w:tc>
          <w:tcPr>
            <w:tcW w:w="0" w:type="auto"/>
            <w:vAlign w:val="center"/>
            <w:hideMark/>
          </w:tcPr>
          <w:p w14:paraId="77F4BC0C" w14:textId="77777777" w:rsidR="004C2A57" w:rsidRPr="004C2A57" w:rsidRDefault="004C2A57" w:rsidP="004C2A57">
            <w:pPr>
              <w:rPr>
                <w:b/>
                <w:bCs/>
              </w:rPr>
            </w:pPr>
            <w:r w:rsidRPr="004C2A57">
              <w:rPr>
                <w:b/>
                <w:bCs/>
              </w:rPr>
              <w:t>Authority / Guidance</w:t>
            </w:r>
          </w:p>
        </w:tc>
      </w:tr>
      <w:tr w:rsidR="004C2A57" w:rsidRPr="004C2A57" w14:paraId="2C27696C" w14:textId="77777777" w:rsidTr="7387A2EB">
        <w:trPr>
          <w:tblCellSpacing w:w="15" w:type="dxa"/>
        </w:trPr>
        <w:tc>
          <w:tcPr>
            <w:tcW w:w="0" w:type="auto"/>
            <w:vAlign w:val="center"/>
            <w:hideMark/>
          </w:tcPr>
          <w:p w14:paraId="41627938" w14:textId="77777777" w:rsidR="004C2A57" w:rsidRPr="004C2A57" w:rsidRDefault="004C2A57" w:rsidP="004C2A57">
            <w:r w:rsidRPr="004C2A57">
              <w:rPr>
                <w:b/>
                <w:bCs/>
              </w:rPr>
              <w:t>Governance</w:t>
            </w:r>
          </w:p>
        </w:tc>
        <w:tc>
          <w:tcPr>
            <w:tcW w:w="0" w:type="auto"/>
            <w:vAlign w:val="center"/>
            <w:hideMark/>
          </w:tcPr>
          <w:p w14:paraId="79D128C4" w14:textId="77777777" w:rsidR="004C2A57" w:rsidRPr="004C2A57" w:rsidRDefault="004C2A57" w:rsidP="004C2A57"/>
        </w:tc>
        <w:tc>
          <w:tcPr>
            <w:tcW w:w="0" w:type="auto"/>
            <w:vAlign w:val="center"/>
            <w:hideMark/>
          </w:tcPr>
          <w:p w14:paraId="6815ECB9" w14:textId="77777777" w:rsidR="004C2A57" w:rsidRPr="004C2A57" w:rsidRDefault="004C2A57" w:rsidP="004C2A57"/>
        </w:tc>
      </w:tr>
      <w:tr w:rsidR="004C2A57" w:rsidRPr="004C2A57" w14:paraId="21E4AD41" w14:textId="77777777" w:rsidTr="7387A2EB">
        <w:trPr>
          <w:tblCellSpacing w:w="15" w:type="dxa"/>
        </w:trPr>
        <w:tc>
          <w:tcPr>
            <w:tcW w:w="0" w:type="auto"/>
            <w:vAlign w:val="center"/>
            <w:hideMark/>
          </w:tcPr>
          <w:p w14:paraId="7F042381" w14:textId="77777777" w:rsidR="004C2A57" w:rsidRPr="004C2A57" w:rsidRDefault="004C2A57" w:rsidP="004C2A57">
            <w:r w:rsidRPr="004C2A57">
              <w:t>Council minutes (signed)</w:t>
            </w:r>
          </w:p>
        </w:tc>
        <w:tc>
          <w:tcPr>
            <w:tcW w:w="0" w:type="auto"/>
            <w:vAlign w:val="center"/>
            <w:hideMark/>
          </w:tcPr>
          <w:p w14:paraId="5CD312CF" w14:textId="77777777" w:rsidR="004C2A57" w:rsidRPr="004C2A57" w:rsidRDefault="004C2A57" w:rsidP="004C2A57">
            <w:r w:rsidRPr="004C2A57">
              <w:t>Permanent</w:t>
            </w:r>
          </w:p>
        </w:tc>
        <w:tc>
          <w:tcPr>
            <w:tcW w:w="0" w:type="auto"/>
            <w:vAlign w:val="center"/>
            <w:hideMark/>
          </w:tcPr>
          <w:p w14:paraId="28856E49" w14:textId="77777777" w:rsidR="004C2A57" w:rsidRPr="004C2A57" w:rsidRDefault="004C2A57" w:rsidP="004C2A57">
            <w:r w:rsidRPr="004C2A57">
              <w:t>LGA 1972</w:t>
            </w:r>
          </w:p>
        </w:tc>
      </w:tr>
      <w:tr w:rsidR="004C2A57" w:rsidRPr="004C2A57" w14:paraId="14C3D6B7" w14:textId="77777777" w:rsidTr="7387A2EB">
        <w:trPr>
          <w:tblCellSpacing w:w="15" w:type="dxa"/>
        </w:trPr>
        <w:tc>
          <w:tcPr>
            <w:tcW w:w="0" w:type="auto"/>
            <w:vAlign w:val="center"/>
            <w:hideMark/>
          </w:tcPr>
          <w:p w14:paraId="5CD75C12" w14:textId="77777777" w:rsidR="004C2A57" w:rsidRPr="004C2A57" w:rsidRDefault="004C2A57" w:rsidP="004C2A57">
            <w:r w:rsidRPr="004C2A57">
              <w:t>Title deeds, leases, agreements, contracts under seal</w:t>
            </w:r>
          </w:p>
        </w:tc>
        <w:tc>
          <w:tcPr>
            <w:tcW w:w="0" w:type="auto"/>
            <w:vAlign w:val="center"/>
            <w:hideMark/>
          </w:tcPr>
          <w:p w14:paraId="4CF406FD" w14:textId="77777777" w:rsidR="004C2A57" w:rsidRPr="004C2A57" w:rsidRDefault="004C2A57" w:rsidP="004C2A57">
            <w:r w:rsidRPr="004C2A57">
              <w:t>Permanent (contracts under seal – 12 years after completion if not kept permanently)</w:t>
            </w:r>
          </w:p>
        </w:tc>
        <w:tc>
          <w:tcPr>
            <w:tcW w:w="0" w:type="auto"/>
            <w:vAlign w:val="center"/>
            <w:hideMark/>
          </w:tcPr>
          <w:p w14:paraId="48BCF9B1" w14:textId="77777777" w:rsidR="004C2A57" w:rsidRPr="004C2A57" w:rsidRDefault="004C2A57" w:rsidP="004C2A57">
            <w:r w:rsidRPr="004C2A57">
              <w:t>Limitation Act 1980</w:t>
            </w:r>
          </w:p>
        </w:tc>
      </w:tr>
      <w:tr w:rsidR="004C2A57" w:rsidRPr="004C2A57" w14:paraId="00A877EB" w14:textId="77777777" w:rsidTr="7387A2EB">
        <w:trPr>
          <w:tblCellSpacing w:w="15" w:type="dxa"/>
        </w:trPr>
        <w:tc>
          <w:tcPr>
            <w:tcW w:w="0" w:type="auto"/>
            <w:vAlign w:val="center"/>
            <w:hideMark/>
          </w:tcPr>
          <w:p w14:paraId="3810F509" w14:textId="77777777" w:rsidR="004C2A57" w:rsidRPr="004C2A57" w:rsidRDefault="004C2A57" w:rsidP="004C2A57">
            <w:r w:rsidRPr="004C2A57">
              <w:t>Policies, procedures, registers</w:t>
            </w:r>
          </w:p>
        </w:tc>
        <w:tc>
          <w:tcPr>
            <w:tcW w:w="0" w:type="auto"/>
            <w:vAlign w:val="center"/>
            <w:hideMark/>
          </w:tcPr>
          <w:p w14:paraId="7D9529D7" w14:textId="77777777" w:rsidR="004C2A57" w:rsidRPr="004C2A57" w:rsidRDefault="004C2A57" w:rsidP="004C2A57">
            <w:r w:rsidRPr="004C2A57">
              <w:t>Until superseded + 1 year</w:t>
            </w:r>
          </w:p>
        </w:tc>
        <w:tc>
          <w:tcPr>
            <w:tcW w:w="0" w:type="auto"/>
            <w:vAlign w:val="center"/>
            <w:hideMark/>
          </w:tcPr>
          <w:p w14:paraId="7B1D2601" w14:textId="77777777" w:rsidR="004C2A57" w:rsidRDefault="004C2A57" w:rsidP="004C2A57">
            <w:r w:rsidRPr="004C2A57">
              <w:t>Best practice</w:t>
            </w:r>
          </w:p>
          <w:p w14:paraId="5E73198F" w14:textId="77777777" w:rsidR="00022388" w:rsidRPr="004C2A57" w:rsidRDefault="00022388" w:rsidP="004C2A57"/>
        </w:tc>
      </w:tr>
      <w:tr w:rsidR="004C2A57" w:rsidRPr="004C2A57" w14:paraId="3685AD67" w14:textId="77777777" w:rsidTr="7387A2EB">
        <w:trPr>
          <w:tblCellSpacing w:w="15" w:type="dxa"/>
        </w:trPr>
        <w:tc>
          <w:tcPr>
            <w:tcW w:w="0" w:type="auto"/>
            <w:vAlign w:val="center"/>
            <w:hideMark/>
          </w:tcPr>
          <w:p w14:paraId="5A0D143D" w14:textId="77777777" w:rsidR="004C2A57" w:rsidRPr="004C2A57" w:rsidRDefault="004C2A57" w:rsidP="004C2A57">
            <w:r w:rsidRPr="004C2A57">
              <w:rPr>
                <w:b/>
                <w:bCs/>
              </w:rPr>
              <w:lastRenderedPageBreak/>
              <w:t>Finance</w:t>
            </w:r>
          </w:p>
        </w:tc>
        <w:tc>
          <w:tcPr>
            <w:tcW w:w="0" w:type="auto"/>
            <w:vAlign w:val="center"/>
            <w:hideMark/>
          </w:tcPr>
          <w:p w14:paraId="42CE45E6" w14:textId="77777777" w:rsidR="004C2A57" w:rsidRPr="004C2A57" w:rsidRDefault="004C2A57" w:rsidP="004C2A57"/>
        </w:tc>
        <w:tc>
          <w:tcPr>
            <w:tcW w:w="0" w:type="auto"/>
            <w:vAlign w:val="center"/>
            <w:hideMark/>
          </w:tcPr>
          <w:p w14:paraId="7E5C5068" w14:textId="77777777" w:rsidR="004C2A57" w:rsidRPr="004C2A57" w:rsidRDefault="004C2A57" w:rsidP="004C2A57"/>
        </w:tc>
      </w:tr>
      <w:tr w:rsidR="004C2A57" w:rsidRPr="004C2A57" w14:paraId="5D851F5E" w14:textId="77777777" w:rsidTr="7387A2EB">
        <w:trPr>
          <w:tblCellSpacing w:w="15" w:type="dxa"/>
        </w:trPr>
        <w:tc>
          <w:tcPr>
            <w:tcW w:w="0" w:type="auto"/>
            <w:vAlign w:val="center"/>
            <w:hideMark/>
          </w:tcPr>
          <w:p w14:paraId="415A1991" w14:textId="77777777" w:rsidR="004C2A57" w:rsidRPr="004C2A57" w:rsidRDefault="004C2A57" w:rsidP="004C2A57">
            <w:r w:rsidRPr="004C2A57">
              <w:t>Annual Governance &amp; Accountability Return (AGAR)</w:t>
            </w:r>
          </w:p>
        </w:tc>
        <w:tc>
          <w:tcPr>
            <w:tcW w:w="0" w:type="auto"/>
            <w:vAlign w:val="center"/>
            <w:hideMark/>
          </w:tcPr>
          <w:p w14:paraId="38939EA7" w14:textId="77777777" w:rsidR="004C2A57" w:rsidRPr="004C2A57" w:rsidRDefault="004C2A57" w:rsidP="004C2A57">
            <w:r w:rsidRPr="004C2A57">
              <w:t>Permanent</w:t>
            </w:r>
          </w:p>
        </w:tc>
        <w:tc>
          <w:tcPr>
            <w:tcW w:w="0" w:type="auto"/>
            <w:vAlign w:val="center"/>
            <w:hideMark/>
          </w:tcPr>
          <w:p w14:paraId="123A3161" w14:textId="77777777" w:rsidR="004C2A57" w:rsidRPr="004C2A57" w:rsidRDefault="004C2A57" w:rsidP="004C2A57">
            <w:r w:rsidRPr="004C2A57">
              <w:t>Accounts &amp; Audit Regs 2015</w:t>
            </w:r>
          </w:p>
        </w:tc>
      </w:tr>
      <w:tr w:rsidR="004C2A57" w:rsidRPr="004C2A57" w14:paraId="36CCFFBE" w14:textId="77777777" w:rsidTr="7387A2EB">
        <w:trPr>
          <w:tblCellSpacing w:w="15" w:type="dxa"/>
        </w:trPr>
        <w:tc>
          <w:tcPr>
            <w:tcW w:w="0" w:type="auto"/>
            <w:vAlign w:val="center"/>
            <w:hideMark/>
          </w:tcPr>
          <w:p w14:paraId="57113DC7" w14:textId="77777777" w:rsidR="004C2A57" w:rsidRPr="004C2A57" w:rsidRDefault="004C2A57" w:rsidP="004C2A57">
            <w:r w:rsidRPr="004C2A57">
              <w:t>Accounting records, invoices, VAT, receipts</w:t>
            </w:r>
          </w:p>
        </w:tc>
        <w:tc>
          <w:tcPr>
            <w:tcW w:w="0" w:type="auto"/>
            <w:vAlign w:val="center"/>
            <w:hideMark/>
          </w:tcPr>
          <w:p w14:paraId="4B7BD2F5" w14:textId="77777777" w:rsidR="004C2A57" w:rsidRPr="004C2A57" w:rsidRDefault="004C2A57" w:rsidP="004C2A57">
            <w:r w:rsidRPr="004C2A57">
              <w:t>6 years</w:t>
            </w:r>
          </w:p>
        </w:tc>
        <w:tc>
          <w:tcPr>
            <w:tcW w:w="0" w:type="auto"/>
            <w:vAlign w:val="center"/>
            <w:hideMark/>
          </w:tcPr>
          <w:p w14:paraId="6858EEC6" w14:textId="77777777" w:rsidR="004C2A57" w:rsidRPr="004C2A57" w:rsidRDefault="004C2A57" w:rsidP="004C2A57">
            <w:r w:rsidRPr="004C2A57">
              <w:t>Accounts &amp; Audit Regs 2015</w:t>
            </w:r>
          </w:p>
        </w:tc>
      </w:tr>
      <w:tr w:rsidR="004C2A57" w:rsidRPr="004C2A57" w14:paraId="096C73D5" w14:textId="77777777" w:rsidTr="7387A2EB">
        <w:trPr>
          <w:tblCellSpacing w:w="15" w:type="dxa"/>
        </w:trPr>
        <w:tc>
          <w:tcPr>
            <w:tcW w:w="0" w:type="auto"/>
            <w:vAlign w:val="center"/>
            <w:hideMark/>
          </w:tcPr>
          <w:p w14:paraId="717BDF62" w14:textId="77777777" w:rsidR="004C2A57" w:rsidRPr="004C2A57" w:rsidRDefault="004C2A57" w:rsidP="004C2A57">
            <w:r w:rsidRPr="004C2A57">
              <w:t>Bank statements, paying-in books, cheque stubs</w:t>
            </w:r>
          </w:p>
        </w:tc>
        <w:tc>
          <w:tcPr>
            <w:tcW w:w="0" w:type="auto"/>
            <w:vAlign w:val="center"/>
            <w:hideMark/>
          </w:tcPr>
          <w:p w14:paraId="383597C1" w14:textId="77777777" w:rsidR="004C2A57" w:rsidRPr="004C2A57" w:rsidRDefault="004C2A57" w:rsidP="004C2A57">
            <w:r w:rsidRPr="004C2A57">
              <w:t>6 years</w:t>
            </w:r>
          </w:p>
        </w:tc>
        <w:tc>
          <w:tcPr>
            <w:tcW w:w="0" w:type="auto"/>
            <w:vAlign w:val="center"/>
            <w:hideMark/>
          </w:tcPr>
          <w:p w14:paraId="7B0BA957" w14:textId="77777777" w:rsidR="004C2A57" w:rsidRPr="004C2A57" w:rsidRDefault="004C2A57" w:rsidP="004C2A57">
            <w:r w:rsidRPr="004C2A57">
              <w:t>Accounts &amp; Audit Regs 2015</w:t>
            </w:r>
          </w:p>
        </w:tc>
      </w:tr>
      <w:tr w:rsidR="004C2A57" w:rsidRPr="004C2A57" w14:paraId="5E810CD2" w14:textId="77777777" w:rsidTr="7387A2EB">
        <w:trPr>
          <w:tblCellSpacing w:w="15" w:type="dxa"/>
        </w:trPr>
        <w:tc>
          <w:tcPr>
            <w:tcW w:w="0" w:type="auto"/>
            <w:vAlign w:val="center"/>
            <w:hideMark/>
          </w:tcPr>
          <w:p w14:paraId="20A4645C" w14:textId="77777777" w:rsidR="004C2A57" w:rsidRPr="004C2A57" w:rsidRDefault="004C2A57" w:rsidP="004C2A57">
            <w:r w:rsidRPr="004C2A57">
              <w:t>Community Infrastructure Levy (CIL) reports and records</w:t>
            </w:r>
          </w:p>
        </w:tc>
        <w:tc>
          <w:tcPr>
            <w:tcW w:w="0" w:type="auto"/>
            <w:vAlign w:val="center"/>
            <w:hideMark/>
          </w:tcPr>
          <w:p w14:paraId="5DAAD6D1" w14:textId="77777777" w:rsidR="004C2A57" w:rsidRPr="004C2A57" w:rsidRDefault="004C2A57" w:rsidP="004C2A57">
            <w:r w:rsidRPr="004C2A57">
              <w:t>6 years (published reports online for statutory period)</w:t>
            </w:r>
          </w:p>
        </w:tc>
        <w:tc>
          <w:tcPr>
            <w:tcW w:w="0" w:type="auto"/>
            <w:vAlign w:val="center"/>
            <w:hideMark/>
          </w:tcPr>
          <w:p w14:paraId="7DFFEF02" w14:textId="77777777" w:rsidR="004C2A57" w:rsidRPr="004C2A57" w:rsidRDefault="004C2A57" w:rsidP="004C2A57">
            <w:r w:rsidRPr="004C2A57">
              <w:t>CIL Regs</w:t>
            </w:r>
          </w:p>
        </w:tc>
      </w:tr>
      <w:tr w:rsidR="004C2A57" w:rsidRPr="004C2A57" w14:paraId="66219AFB" w14:textId="77777777" w:rsidTr="7387A2EB">
        <w:trPr>
          <w:tblCellSpacing w:w="15" w:type="dxa"/>
        </w:trPr>
        <w:tc>
          <w:tcPr>
            <w:tcW w:w="0" w:type="auto"/>
            <w:vAlign w:val="center"/>
            <w:hideMark/>
          </w:tcPr>
          <w:p w14:paraId="17D5C01D" w14:textId="77777777" w:rsidR="004C2A57" w:rsidRPr="004C2A57" w:rsidRDefault="004C2A57" w:rsidP="004C2A57">
            <w:r w:rsidRPr="004C2A57">
              <w:t>Insurance policies</w:t>
            </w:r>
          </w:p>
        </w:tc>
        <w:tc>
          <w:tcPr>
            <w:tcW w:w="0" w:type="auto"/>
            <w:vAlign w:val="center"/>
            <w:hideMark/>
          </w:tcPr>
          <w:p w14:paraId="7E37DA9E" w14:textId="77777777" w:rsidR="004C2A57" w:rsidRPr="004C2A57" w:rsidRDefault="004C2A57" w:rsidP="004C2A57">
            <w:r w:rsidRPr="004C2A57">
              <w:t>6 years; indemnity records permanent</w:t>
            </w:r>
          </w:p>
        </w:tc>
        <w:tc>
          <w:tcPr>
            <w:tcW w:w="0" w:type="auto"/>
            <w:vAlign w:val="center"/>
            <w:hideMark/>
          </w:tcPr>
          <w:p w14:paraId="3FCAE78B" w14:textId="77777777" w:rsidR="004C2A57" w:rsidRPr="004C2A57" w:rsidRDefault="004C2A57" w:rsidP="004C2A57">
            <w:r w:rsidRPr="004C2A57">
              <w:t>Limitation Act 1980</w:t>
            </w:r>
          </w:p>
        </w:tc>
      </w:tr>
      <w:tr w:rsidR="004C2A57" w:rsidRPr="004C2A57" w14:paraId="7E069A06" w14:textId="77777777" w:rsidTr="7387A2EB">
        <w:trPr>
          <w:tblCellSpacing w:w="15" w:type="dxa"/>
        </w:trPr>
        <w:tc>
          <w:tcPr>
            <w:tcW w:w="0" w:type="auto"/>
            <w:vAlign w:val="center"/>
            <w:hideMark/>
          </w:tcPr>
          <w:p w14:paraId="32438712" w14:textId="77777777" w:rsidR="004C2A57" w:rsidRPr="004C2A57" w:rsidRDefault="004C2A57" w:rsidP="004C2A57">
            <w:r w:rsidRPr="004C2A57">
              <w:rPr>
                <w:b/>
                <w:bCs/>
              </w:rPr>
              <w:t>Employment</w:t>
            </w:r>
          </w:p>
        </w:tc>
        <w:tc>
          <w:tcPr>
            <w:tcW w:w="0" w:type="auto"/>
            <w:vAlign w:val="center"/>
            <w:hideMark/>
          </w:tcPr>
          <w:p w14:paraId="63A188FD" w14:textId="77777777" w:rsidR="004C2A57" w:rsidRPr="004C2A57" w:rsidRDefault="004C2A57" w:rsidP="004C2A57"/>
        </w:tc>
        <w:tc>
          <w:tcPr>
            <w:tcW w:w="0" w:type="auto"/>
            <w:vAlign w:val="center"/>
            <w:hideMark/>
          </w:tcPr>
          <w:p w14:paraId="47114EBE" w14:textId="77777777" w:rsidR="004C2A57" w:rsidRPr="004C2A57" w:rsidRDefault="004C2A57" w:rsidP="004C2A57"/>
        </w:tc>
      </w:tr>
      <w:tr w:rsidR="004C2A57" w:rsidRPr="004C2A57" w14:paraId="536E8310" w14:textId="77777777" w:rsidTr="7387A2EB">
        <w:trPr>
          <w:tblCellSpacing w:w="15" w:type="dxa"/>
        </w:trPr>
        <w:tc>
          <w:tcPr>
            <w:tcW w:w="0" w:type="auto"/>
            <w:vAlign w:val="center"/>
            <w:hideMark/>
          </w:tcPr>
          <w:p w14:paraId="5E4FD190" w14:textId="77777777" w:rsidR="004C2A57" w:rsidRPr="004C2A57" w:rsidRDefault="004C2A57" w:rsidP="004C2A57">
            <w:r w:rsidRPr="004C2A57">
              <w:t>Personnel files</w:t>
            </w:r>
          </w:p>
        </w:tc>
        <w:tc>
          <w:tcPr>
            <w:tcW w:w="0" w:type="auto"/>
            <w:vAlign w:val="center"/>
            <w:hideMark/>
          </w:tcPr>
          <w:p w14:paraId="3727650B" w14:textId="77777777" w:rsidR="004C2A57" w:rsidRPr="004C2A57" w:rsidRDefault="004C2A57" w:rsidP="004C2A57">
            <w:r w:rsidRPr="004C2A57">
              <w:t>6 years after leaving</w:t>
            </w:r>
          </w:p>
        </w:tc>
        <w:tc>
          <w:tcPr>
            <w:tcW w:w="0" w:type="auto"/>
            <w:vAlign w:val="center"/>
            <w:hideMark/>
          </w:tcPr>
          <w:p w14:paraId="7D5C27C4" w14:textId="77777777" w:rsidR="004C2A57" w:rsidRPr="004C2A57" w:rsidRDefault="004C2A57" w:rsidP="004C2A57">
            <w:r w:rsidRPr="004C2A57">
              <w:t>Employment law best practice</w:t>
            </w:r>
          </w:p>
        </w:tc>
      </w:tr>
      <w:tr w:rsidR="004C2A57" w:rsidRPr="004C2A57" w14:paraId="71FD03A4" w14:textId="77777777" w:rsidTr="7387A2EB">
        <w:trPr>
          <w:tblCellSpacing w:w="15" w:type="dxa"/>
        </w:trPr>
        <w:tc>
          <w:tcPr>
            <w:tcW w:w="0" w:type="auto"/>
            <w:vAlign w:val="center"/>
            <w:hideMark/>
          </w:tcPr>
          <w:p w14:paraId="51A6D634" w14:textId="77777777" w:rsidR="004C2A57" w:rsidRPr="004C2A57" w:rsidRDefault="004C2A57" w:rsidP="004C2A57">
            <w:r w:rsidRPr="004C2A57">
              <w:t>Payroll and tax records</w:t>
            </w:r>
          </w:p>
        </w:tc>
        <w:tc>
          <w:tcPr>
            <w:tcW w:w="0" w:type="auto"/>
            <w:vAlign w:val="center"/>
            <w:hideMark/>
          </w:tcPr>
          <w:p w14:paraId="0874571F" w14:textId="77777777" w:rsidR="004C2A57" w:rsidRPr="004C2A57" w:rsidRDefault="004C2A57" w:rsidP="004C2A57">
            <w:r w:rsidRPr="004C2A57">
              <w:t>6 years</w:t>
            </w:r>
          </w:p>
        </w:tc>
        <w:tc>
          <w:tcPr>
            <w:tcW w:w="0" w:type="auto"/>
            <w:vAlign w:val="center"/>
            <w:hideMark/>
          </w:tcPr>
          <w:p w14:paraId="723EE5A6" w14:textId="77777777" w:rsidR="004C2A57" w:rsidRPr="004C2A57" w:rsidRDefault="004C2A57" w:rsidP="004C2A57">
            <w:r w:rsidRPr="004C2A57">
              <w:t>Taxes Management Act 1970</w:t>
            </w:r>
          </w:p>
        </w:tc>
      </w:tr>
      <w:tr w:rsidR="004C2A57" w:rsidRPr="004C2A57" w14:paraId="4DDE4EDD" w14:textId="77777777" w:rsidTr="7387A2EB">
        <w:trPr>
          <w:tblCellSpacing w:w="15" w:type="dxa"/>
        </w:trPr>
        <w:tc>
          <w:tcPr>
            <w:tcW w:w="0" w:type="auto"/>
            <w:vAlign w:val="center"/>
            <w:hideMark/>
          </w:tcPr>
          <w:p w14:paraId="1281B1FA" w14:textId="77777777" w:rsidR="004C2A57" w:rsidRPr="004C2A57" w:rsidRDefault="004C2A57" w:rsidP="004C2A57">
            <w:r w:rsidRPr="004C2A57">
              <w:t>Health &amp; Safety accident books</w:t>
            </w:r>
          </w:p>
        </w:tc>
        <w:tc>
          <w:tcPr>
            <w:tcW w:w="0" w:type="auto"/>
            <w:vAlign w:val="center"/>
            <w:hideMark/>
          </w:tcPr>
          <w:p w14:paraId="14957FFE" w14:textId="77777777" w:rsidR="004C2A57" w:rsidRPr="004C2A57" w:rsidRDefault="004C2A57" w:rsidP="004C2A57">
            <w:r w:rsidRPr="004C2A57">
              <w:t>3 years (longer if litigation likely)</w:t>
            </w:r>
          </w:p>
        </w:tc>
        <w:tc>
          <w:tcPr>
            <w:tcW w:w="0" w:type="auto"/>
            <w:vAlign w:val="center"/>
            <w:hideMark/>
          </w:tcPr>
          <w:p w14:paraId="465BE148" w14:textId="77777777" w:rsidR="004C2A57" w:rsidRPr="004C2A57" w:rsidRDefault="004C2A57" w:rsidP="004C2A57">
            <w:r w:rsidRPr="004C2A57">
              <w:t>RIDDOR 2013</w:t>
            </w:r>
          </w:p>
        </w:tc>
      </w:tr>
      <w:tr w:rsidR="004C2A57" w:rsidRPr="004C2A57" w14:paraId="6F3C8095" w14:textId="77777777" w:rsidTr="7387A2EB">
        <w:trPr>
          <w:tblCellSpacing w:w="15" w:type="dxa"/>
        </w:trPr>
        <w:tc>
          <w:tcPr>
            <w:tcW w:w="0" w:type="auto"/>
            <w:vAlign w:val="center"/>
            <w:hideMark/>
          </w:tcPr>
          <w:p w14:paraId="6484479A" w14:textId="77777777" w:rsidR="004C2A57" w:rsidRPr="004C2A57" w:rsidRDefault="004C2A57" w:rsidP="004C2A57">
            <w:r w:rsidRPr="004C2A57">
              <w:rPr>
                <w:b/>
                <w:bCs/>
              </w:rPr>
              <w:t>Land and Property</w:t>
            </w:r>
          </w:p>
        </w:tc>
        <w:tc>
          <w:tcPr>
            <w:tcW w:w="0" w:type="auto"/>
            <w:vAlign w:val="center"/>
            <w:hideMark/>
          </w:tcPr>
          <w:p w14:paraId="41BBDE8C" w14:textId="77777777" w:rsidR="004C2A57" w:rsidRPr="004C2A57" w:rsidRDefault="004C2A57" w:rsidP="004C2A57"/>
        </w:tc>
        <w:tc>
          <w:tcPr>
            <w:tcW w:w="0" w:type="auto"/>
            <w:vAlign w:val="center"/>
            <w:hideMark/>
          </w:tcPr>
          <w:p w14:paraId="5F558782" w14:textId="77777777" w:rsidR="004C2A57" w:rsidRPr="004C2A57" w:rsidRDefault="004C2A57" w:rsidP="004C2A57"/>
        </w:tc>
      </w:tr>
      <w:tr w:rsidR="004C2A57" w:rsidRPr="004C2A57" w14:paraId="1A959198" w14:textId="77777777" w:rsidTr="7387A2EB">
        <w:trPr>
          <w:tblCellSpacing w:w="15" w:type="dxa"/>
        </w:trPr>
        <w:tc>
          <w:tcPr>
            <w:tcW w:w="0" w:type="auto"/>
            <w:vAlign w:val="center"/>
            <w:hideMark/>
          </w:tcPr>
          <w:p w14:paraId="7F1DC5B7" w14:textId="77777777" w:rsidR="004C2A57" w:rsidRPr="004C2A57" w:rsidRDefault="004C2A57" w:rsidP="004C2A57">
            <w:r w:rsidRPr="004C2A57">
              <w:t>Allotment tenancy registers, maps</w:t>
            </w:r>
          </w:p>
        </w:tc>
        <w:tc>
          <w:tcPr>
            <w:tcW w:w="0" w:type="auto"/>
            <w:vAlign w:val="center"/>
            <w:hideMark/>
          </w:tcPr>
          <w:p w14:paraId="34370BC5" w14:textId="77777777" w:rsidR="004C2A57" w:rsidRPr="004C2A57" w:rsidRDefault="004C2A57" w:rsidP="004C2A57">
            <w:r w:rsidRPr="004C2A57">
              <w:t>Permanent</w:t>
            </w:r>
          </w:p>
        </w:tc>
        <w:tc>
          <w:tcPr>
            <w:tcW w:w="0" w:type="auto"/>
            <w:vAlign w:val="center"/>
            <w:hideMark/>
          </w:tcPr>
          <w:p w14:paraId="3ECB5C02" w14:textId="77777777" w:rsidR="004C2A57" w:rsidRPr="004C2A57" w:rsidRDefault="004C2A57" w:rsidP="004C2A57">
            <w:r w:rsidRPr="004C2A57">
              <w:t>Best practice</w:t>
            </w:r>
          </w:p>
        </w:tc>
      </w:tr>
      <w:tr w:rsidR="004C2A57" w:rsidRPr="004C2A57" w14:paraId="5EDE5E47" w14:textId="77777777" w:rsidTr="7387A2EB">
        <w:trPr>
          <w:tblCellSpacing w:w="15" w:type="dxa"/>
        </w:trPr>
        <w:tc>
          <w:tcPr>
            <w:tcW w:w="0" w:type="auto"/>
            <w:vAlign w:val="center"/>
            <w:hideMark/>
          </w:tcPr>
          <w:p w14:paraId="76FF3807" w14:textId="77777777" w:rsidR="004C2A57" w:rsidRPr="004C2A57" w:rsidRDefault="004C2A57" w:rsidP="004C2A57">
            <w:r w:rsidRPr="004C2A57">
              <w:t>Individual allotment tenancy agreements</w:t>
            </w:r>
          </w:p>
        </w:tc>
        <w:tc>
          <w:tcPr>
            <w:tcW w:w="0" w:type="auto"/>
            <w:vAlign w:val="center"/>
            <w:hideMark/>
          </w:tcPr>
          <w:p w14:paraId="38154D25" w14:textId="77777777" w:rsidR="004C2A57" w:rsidRPr="004C2A57" w:rsidRDefault="004C2A57" w:rsidP="004C2A57">
            <w:r w:rsidRPr="004C2A57">
              <w:t>6 years after tenancy ends</w:t>
            </w:r>
          </w:p>
        </w:tc>
        <w:tc>
          <w:tcPr>
            <w:tcW w:w="0" w:type="auto"/>
            <w:vAlign w:val="center"/>
            <w:hideMark/>
          </w:tcPr>
          <w:p w14:paraId="243D4DCC" w14:textId="77777777" w:rsidR="004C2A57" w:rsidRPr="004C2A57" w:rsidRDefault="004C2A57" w:rsidP="004C2A57">
            <w:r w:rsidRPr="004C2A57">
              <w:t>Limitation Act 1980</w:t>
            </w:r>
          </w:p>
        </w:tc>
      </w:tr>
      <w:tr w:rsidR="004C2A57" w:rsidRPr="004C2A57" w14:paraId="20779E3F" w14:textId="77777777" w:rsidTr="7387A2EB">
        <w:trPr>
          <w:tblCellSpacing w:w="15" w:type="dxa"/>
        </w:trPr>
        <w:tc>
          <w:tcPr>
            <w:tcW w:w="0" w:type="auto"/>
            <w:vAlign w:val="center"/>
            <w:hideMark/>
          </w:tcPr>
          <w:p w14:paraId="13D3BB76" w14:textId="77777777" w:rsidR="004C2A57" w:rsidRPr="004C2A57" w:rsidRDefault="004C2A57" w:rsidP="004C2A57">
            <w:r w:rsidRPr="004C2A57">
              <w:t>Burial registers and grave records</w:t>
            </w:r>
          </w:p>
        </w:tc>
        <w:tc>
          <w:tcPr>
            <w:tcW w:w="0" w:type="auto"/>
            <w:vAlign w:val="center"/>
            <w:hideMark/>
          </w:tcPr>
          <w:p w14:paraId="3CCB6666" w14:textId="77777777" w:rsidR="004C2A57" w:rsidRPr="004C2A57" w:rsidRDefault="004C2A57" w:rsidP="004C2A57">
            <w:r w:rsidRPr="004C2A57">
              <w:t>Permanent</w:t>
            </w:r>
          </w:p>
        </w:tc>
        <w:tc>
          <w:tcPr>
            <w:tcW w:w="0" w:type="auto"/>
            <w:vAlign w:val="center"/>
            <w:hideMark/>
          </w:tcPr>
          <w:p w14:paraId="62242A4C" w14:textId="77777777" w:rsidR="004C2A57" w:rsidRPr="004C2A57" w:rsidRDefault="004C2A57" w:rsidP="004C2A57">
            <w:r w:rsidRPr="004C2A57">
              <w:t>LACO 1977</w:t>
            </w:r>
          </w:p>
        </w:tc>
      </w:tr>
      <w:tr w:rsidR="004C2A57" w:rsidRPr="004C2A57" w14:paraId="4A446551" w14:textId="77777777" w:rsidTr="7387A2EB">
        <w:trPr>
          <w:tblCellSpacing w:w="15" w:type="dxa"/>
        </w:trPr>
        <w:tc>
          <w:tcPr>
            <w:tcW w:w="0" w:type="auto"/>
            <w:vAlign w:val="center"/>
            <w:hideMark/>
          </w:tcPr>
          <w:p w14:paraId="27FE9B4C" w14:textId="77777777" w:rsidR="004C2A57" w:rsidRPr="004C2A57" w:rsidRDefault="004C2A57" w:rsidP="004C2A57">
            <w:r w:rsidRPr="004C2A57">
              <w:t>Exclusive Rights of Burial certificates</w:t>
            </w:r>
          </w:p>
        </w:tc>
        <w:tc>
          <w:tcPr>
            <w:tcW w:w="0" w:type="auto"/>
            <w:vAlign w:val="center"/>
            <w:hideMark/>
          </w:tcPr>
          <w:p w14:paraId="6D98863A" w14:textId="77777777" w:rsidR="004C2A57" w:rsidRPr="004C2A57" w:rsidRDefault="004C2A57" w:rsidP="004C2A57">
            <w:r w:rsidRPr="004C2A57">
              <w:t>Permanent</w:t>
            </w:r>
          </w:p>
        </w:tc>
        <w:tc>
          <w:tcPr>
            <w:tcW w:w="0" w:type="auto"/>
            <w:vAlign w:val="center"/>
            <w:hideMark/>
          </w:tcPr>
          <w:p w14:paraId="0F625430" w14:textId="77777777" w:rsidR="004C2A57" w:rsidRPr="004C2A57" w:rsidRDefault="004C2A57" w:rsidP="004C2A57">
            <w:r w:rsidRPr="004C2A57">
              <w:t>LACO 1977</w:t>
            </w:r>
          </w:p>
        </w:tc>
      </w:tr>
      <w:tr w:rsidR="004C2A57" w:rsidRPr="004C2A57" w14:paraId="0C7BBA07" w14:textId="77777777" w:rsidTr="7387A2EB">
        <w:trPr>
          <w:tblCellSpacing w:w="15" w:type="dxa"/>
        </w:trPr>
        <w:tc>
          <w:tcPr>
            <w:tcW w:w="0" w:type="auto"/>
            <w:vAlign w:val="center"/>
            <w:hideMark/>
          </w:tcPr>
          <w:p w14:paraId="3CEFB0E3" w14:textId="77777777" w:rsidR="004C2A57" w:rsidRPr="004C2A57" w:rsidRDefault="004C2A57" w:rsidP="004C2A57">
            <w:r w:rsidRPr="004C2A57">
              <w:rPr>
                <w:b/>
                <w:bCs/>
              </w:rPr>
              <w:t>Digital Records</w:t>
            </w:r>
          </w:p>
        </w:tc>
        <w:tc>
          <w:tcPr>
            <w:tcW w:w="0" w:type="auto"/>
            <w:vAlign w:val="center"/>
            <w:hideMark/>
          </w:tcPr>
          <w:p w14:paraId="5261D3D9" w14:textId="77777777" w:rsidR="004C2A57" w:rsidRPr="004C2A57" w:rsidRDefault="004C2A57" w:rsidP="004C2A57"/>
        </w:tc>
        <w:tc>
          <w:tcPr>
            <w:tcW w:w="0" w:type="auto"/>
            <w:vAlign w:val="center"/>
            <w:hideMark/>
          </w:tcPr>
          <w:p w14:paraId="0E090E71" w14:textId="77777777" w:rsidR="004C2A57" w:rsidRPr="004C2A57" w:rsidRDefault="004C2A57" w:rsidP="004C2A57"/>
        </w:tc>
      </w:tr>
      <w:tr w:rsidR="004C2A57" w:rsidRPr="004C2A57" w14:paraId="198524C2" w14:textId="77777777" w:rsidTr="7387A2EB">
        <w:trPr>
          <w:tblCellSpacing w:w="15" w:type="dxa"/>
        </w:trPr>
        <w:tc>
          <w:tcPr>
            <w:tcW w:w="0" w:type="auto"/>
            <w:vAlign w:val="center"/>
            <w:hideMark/>
          </w:tcPr>
          <w:p w14:paraId="019C6222" w14:textId="77777777" w:rsidR="004C2A57" w:rsidRPr="004C2A57" w:rsidRDefault="004C2A57" w:rsidP="004C2A57">
            <w:r w:rsidRPr="004C2A57">
              <w:t>Emails conducting council business</w:t>
            </w:r>
          </w:p>
        </w:tc>
        <w:tc>
          <w:tcPr>
            <w:tcW w:w="0" w:type="auto"/>
            <w:vAlign w:val="center"/>
            <w:hideMark/>
          </w:tcPr>
          <w:p w14:paraId="676D5FAE" w14:textId="77777777" w:rsidR="004C2A57" w:rsidRPr="004C2A57" w:rsidRDefault="004C2A57" w:rsidP="004C2A57">
            <w:r w:rsidRPr="004C2A57">
              <w:t>In line with subject matter retention period</w:t>
            </w:r>
          </w:p>
        </w:tc>
        <w:tc>
          <w:tcPr>
            <w:tcW w:w="0" w:type="auto"/>
            <w:vAlign w:val="center"/>
            <w:hideMark/>
          </w:tcPr>
          <w:p w14:paraId="69FC924B" w14:textId="77777777" w:rsidR="004C2A57" w:rsidRPr="004C2A57" w:rsidRDefault="004C2A57" w:rsidP="004C2A57">
            <w:r w:rsidRPr="004C2A57">
              <w:t>FOIA Code</w:t>
            </w:r>
          </w:p>
        </w:tc>
      </w:tr>
      <w:tr w:rsidR="004C2A57" w:rsidRPr="004C2A57" w14:paraId="08DD64BE" w14:textId="77777777" w:rsidTr="7387A2EB">
        <w:trPr>
          <w:tblCellSpacing w:w="15" w:type="dxa"/>
        </w:trPr>
        <w:tc>
          <w:tcPr>
            <w:tcW w:w="0" w:type="auto"/>
            <w:vAlign w:val="center"/>
            <w:hideMark/>
          </w:tcPr>
          <w:p w14:paraId="23DFF454" w14:textId="77777777" w:rsidR="004C2A57" w:rsidRPr="004C2A57" w:rsidRDefault="004C2A57" w:rsidP="004C2A57">
            <w:r w:rsidRPr="004C2A57">
              <w:t>Website content</w:t>
            </w:r>
          </w:p>
        </w:tc>
        <w:tc>
          <w:tcPr>
            <w:tcW w:w="0" w:type="auto"/>
            <w:vAlign w:val="center"/>
            <w:hideMark/>
          </w:tcPr>
          <w:p w14:paraId="61AD09CA" w14:textId="77777777" w:rsidR="004C2A57" w:rsidRPr="004C2A57" w:rsidRDefault="004C2A57" w:rsidP="004C2A57">
            <w:r w:rsidRPr="004C2A57">
              <w:t>Until updated or superseded</w:t>
            </w:r>
          </w:p>
        </w:tc>
        <w:tc>
          <w:tcPr>
            <w:tcW w:w="0" w:type="auto"/>
            <w:vAlign w:val="center"/>
            <w:hideMark/>
          </w:tcPr>
          <w:p w14:paraId="465D6AF7" w14:textId="77777777" w:rsidR="004C2A57" w:rsidRPr="004C2A57" w:rsidRDefault="004C2A57" w:rsidP="004C2A57">
            <w:r w:rsidRPr="004C2A57">
              <w:t>Transparency Code</w:t>
            </w:r>
          </w:p>
        </w:tc>
      </w:tr>
      <w:tr w:rsidR="004C2A57" w:rsidRPr="004C2A57" w14:paraId="231D1F5B" w14:textId="77777777" w:rsidTr="7387A2EB">
        <w:trPr>
          <w:tblCellSpacing w:w="15" w:type="dxa"/>
        </w:trPr>
        <w:tc>
          <w:tcPr>
            <w:tcW w:w="0" w:type="auto"/>
            <w:vAlign w:val="center"/>
            <w:hideMark/>
          </w:tcPr>
          <w:p w14:paraId="306E8CCA" w14:textId="77777777" w:rsidR="004C2A57" w:rsidRPr="004C2A57" w:rsidRDefault="004C2A57" w:rsidP="004C2A57">
            <w:r w:rsidRPr="004C2A57">
              <w:lastRenderedPageBreak/>
              <w:t>Social media content (official council posts)</w:t>
            </w:r>
          </w:p>
        </w:tc>
        <w:tc>
          <w:tcPr>
            <w:tcW w:w="0" w:type="auto"/>
            <w:vAlign w:val="center"/>
            <w:hideMark/>
          </w:tcPr>
          <w:p w14:paraId="1C1BEAF7" w14:textId="77777777" w:rsidR="004C2A57" w:rsidRPr="004C2A57" w:rsidRDefault="004C2A57" w:rsidP="004C2A57">
            <w:r w:rsidRPr="004C2A57">
              <w:t>Until administratively useful</w:t>
            </w:r>
          </w:p>
        </w:tc>
        <w:tc>
          <w:tcPr>
            <w:tcW w:w="0" w:type="auto"/>
            <w:vAlign w:val="center"/>
            <w:hideMark/>
          </w:tcPr>
          <w:p w14:paraId="7611C771" w14:textId="77777777" w:rsidR="004C2A57" w:rsidRPr="004C2A57" w:rsidRDefault="004C2A57" w:rsidP="004C2A57">
            <w:r w:rsidRPr="004C2A57">
              <w:t>Best practice</w:t>
            </w:r>
          </w:p>
        </w:tc>
      </w:tr>
      <w:tr w:rsidR="004C2A57" w:rsidRPr="004C2A57" w14:paraId="42B2FF4C" w14:textId="77777777" w:rsidTr="7387A2EB">
        <w:trPr>
          <w:tblCellSpacing w:w="15" w:type="dxa"/>
        </w:trPr>
        <w:tc>
          <w:tcPr>
            <w:tcW w:w="0" w:type="auto"/>
            <w:vAlign w:val="center"/>
            <w:hideMark/>
          </w:tcPr>
          <w:p w14:paraId="2F48AFB7" w14:textId="77777777" w:rsidR="004C2A57" w:rsidRPr="004C2A57" w:rsidRDefault="004C2A57" w:rsidP="004C2A57">
            <w:r w:rsidRPr="004C2A57">
              <w:t>CCTV footage (if operated)</w:t>
            </w:r>
          </w:p>
        </w:tc>
        <w:tc>
          <w:tcPr>
            <w:tcW w:w="0" w:type="auto"/>
            <w:vAlign w:val="center"/>
            <w:hideMark/>
          </w:tcPr>
          <w:p w14:paraId="1289C82A" w14:textId="77777777" w:rsidR="004C2A57" w:rsidRPr="004C2A57" w:rsidRDefault="004C2A57" w:rsidP="004C2A57">
            <w:r w:rsidRPr="004C2A57">
              <w:t>28–31 days unless required for incident/police</w:t>
            </w:r>
          </w:p>
        </w:tc>
        <w:tc>
          <w:tcPr>
            <w:tcW w:w="0" w:type="auto"/>
            <w:vAlign w:val="center"/>
            <w:hideMark/>
          </w:tcPr>
          <w:p w14:paraId="4AD0AE14" w14:textId="77777777" w:rsidR="004C2A57" w:rsidRPr="004C2A57" w:rsidRDefault="004C2A57" w:rsidP="004C2A57">
            <w:r w:rsidRPr="004C2A57">
              <w:t>Best practice</w:t>
            </w:r>
          </w:p>
        </w:tc>
      </w:tr>
      <w:tr w:rsidR="004C2A57" w:rsidRPr="004C2A57" w14:paraId="21E5FDE3" w14:textId="77777777" w:rsidTr="7387A2EB">
        <w:trPr>
          <w:tblCellSpacing w:w="15" w:type="dxa"/>
        </w:trPr>
        <w:tc>
          <w:tcPr>
            <w:tcW w:w="0" w:type="auto"/>
            <w:vAlign w:val="center"/>
            <w:hideMark/>
          </w:tcPr>
          <w:p w14:paraId="67F8CBC4" w14:textId="77777777" w:rsidR="004C2A57" w:rsidRPr="004C2A57" w:rsidRDefault="004C2A57" w:rsidP="004C2A57">
            <w:r w:rsidRPr="004C2A57">
              <w:rPr>
                <w:b/>
                <w:bCs/>
              </w:rPr>
              <w:t>Other</w:t>
            </w:r>
          </w:p>
        </w:tc>
        <w:tc>
          <w:tcPr>
            <w:tcW w:w="0" w:type="auto"/>
            <w:vAlign w:val="center"/>
            <w:hideMark/>
          </w:tcPr>
          <w:p w14:paraId="4EAE1124" w14:textId="77777777" w:rsidR="004C2A57" w:rsidRPr="004C2A57" w:rsidRDefault="004C2A57" w:rsidP="004C2A57"/>
        </w:tc>
        <w:tc>
          <w:tcPr>
            <w:tcW w:w="0" w:type="auto"/>
            <w:vAlign w:val="center"/>
            <w:hideMark/>
          </w:tcPr>
          <w:p w14:paraId="06D48459" w14:textId="77777777" w:rsidR="004C2A57" w:rsidRPr="004C2A57" w:rsidRDefault="004C2A57" w:rsidP="004C2A57"/>
        </w:tc>
      </w:tr>
      <w:tr w:rsidR="004C2A57" w:rsidRPr="004C2A57" w14:paraId="6637A510" w14:textId="77777777" w:rsidTr="7387A2EB">
        <w:trPr>
          <w:tblCellSpacing w:w="15" w:type="dxa"/>
        </w:trPr>
        <w:tc>
          <w:tcPr>
            <w:tcW w:w="0" w:type="auto"/>
            <w:vAlign w:val="center"/>
            <w:hideMark/>
          </w:tcPr>
          <w:p w14:paraId="0F499FBF" w14:textId="77777777" w:rsidR="004C2A57" w:rsidRPr="004C2A57" w:rsidRDefault="004C2A57" w:rsidP="004C2A57">
            <w:r w:rsidRPr="004C2A57">
              <w:t>Planning papers (applications, decisions)</w:t>
            </w:r>
          </w:p>
        </w:tc>
        <w:tc>
          <w:tcPr>
            <w:tcW w:w="0" w:type="auto"/>
            <w:vAlign w:val="center"/>
            <w:hideMark/>
          </w:tcPr>
          <w:p w14:paraId="1682114B" w14:textId="77777777" w:rsidR="004C2A57" w:rsidRPr="004C2A57" w:rsidRDefault="004C2A57" w:rsidP="004C2A57">
            <w:r w:rsidRPr="004C2A57">
              <w:t>Until decision + 6 years</w:t>
            </w:r>
          </w:p>
        </w:tc>
        <w:tc>
          <w:tcPr>
            <w:tcW w:w="0" w:type="auto"/>
            <w:vAlign w:val="center"/>
            <w:hideMark/>
          </w:tcPr>
          <w:p w14:paraId="16DE38D9" w14:textId="77777777" w:rsidR="004C2A57" w:rsidRPr="004C2A57" w:rsidRDefault="004C2A57" w:rsidP="004C2A57">
            <w:r w:rsidRPr="004C2A57">
              <w:t>Local practice</w:t>
            </w:r>
          </w:p>
        </w:tc>
      </w:tr>
      <w:tr w:rsidR="004C2A57" w:rsidRPr="004C2A57" w14:paraId="342FB126" w14:textId="77777777" w:rsidTr="7387A2EB">
        <w:trPr>
          <w:tblCellSpacing w:w="15" w:type="dxa"/>
        </w:trPr>
        <w:tc>
          <w:tcPr>
            <w:tcW w:w="0" w:type="auto"/>
            <w:vAlign w:val="center"/>
            <w:hideMark/>
          </w:tcPr>
          <w:p w14:paraId="7FC4348B" w14:textId="77777777" w:rsidR="004C2A57" w:rsidRPr="004C2A57" w:rsidRDefault="004C2A57" w:rsidP="004C2A57">
            <w:r w:rsidRPr="004C2A57">
              <w:t>Routine correspondence/drafts</w:t>
            </w:r>
          </w:p>
        </w:tc>
        <w:tc>
          <w:tcPr>
            <w:tcW w:w="0" w:type="auto"/>
            <w:vAlign w:val="center"/>
            <w:hideMark/>
          </w:tcPr>
          <w:p w14:paraId="2520C19E" w14:textId="77777777" w:rsidR="004C2A57" w:rsidRPr="004C2A57" w:rsidRDefault="004C2A57" w:rsidP="004C2A57">
            <w:r w:rsidRPr="004C2A57">
              <w:t>Until administratively useful</w:t>
            </w:r>
          </w:p>
        </w:tc>
        <w:tc>
          <w:tcPr>
            <w:tcW w:w="0" w:type="auto"/>
            <w:vAlign w:val="center"/>
            <w:hideMark/>
          </w:tcPr>
          <w:p w14:paraId="74B08D75" w14:textId="77777777" w:rsidR="004C2A57" w:rsidRPr="004C2A57" w:rsidRDefault="004C2A57" w:rsidP="004C2A57">
            <w:r w:rsidRPr="004C2A57">
              <w:t>FOIA Code</w:t>
            </w:r>
          </w:p>
        </w:tc>
      </w:tr>
    </w:tbl>
    <w:p w14:paraId="24ABCB29" w14:textId="2F17F662" w:rsidR="004C2A57" w:rsidRPr="004C2A57" w:rsidRDefault="004C2A57" w:rsidP="004C2A57"/>
    <w:p w14:paraId="524C031B" w14:textId="4034BDCE" w:rsidR="004C2A57" w:rsidRPr="004C2A57" w:rsidRDefault="004C2A57" w:rsidP="004C2A57">
      <w:pPr>
        <w:rPr>
          <w:b/>
          <w:bCs/>
        </w:rPr>
      </w:pPr>
      <w:r w:rsidRPr="004C2A57">
        <w:rPr>
          <w:b/>
          <w:bCs/>
        </w:rPr>
        <w:t>Appendix B – Disposal Log (Template)</w:t>
      </w:r>
    </w:p>
    <w:tbl>
      <w:tblPr>
        <w:tblStyle w:val="TableGrid"/>
        <w:tblW w:w="8986" w:type="dxa"/>
        <w:tblInd w:w="0" w:type="dxa"/>
        <w:tblLook w:val="04A0" w:firstRow="1" w:lastRow="0" w:firstColumn="1" w:lastColumn="0" w:noHBand="0" w:noVBand="1"/>
      </w:tblPr>
      <w:tblGrid>
        <w:gridCol w:w="704"/>
        <w:gridCol w:w="992"/>
        <w:gridCol w:w="3402"/>
        <w:gridCol w:w="1125"/>
        <w:gridCol w:w="1275"/>
        <w:gridCol w:w="1488"/>
      </w:tblGrid>
      <w:tr w:rsidR="006E1833" w14:paraId="2207225F" w14:textId="77777777" w:rsidTr="7387A2EB">
        <w:tc>
          <w:tcPr>
            <w:tcW w:w="704" w:type="dxa"/>
          </w:tcPr>
          <w:p w14:paraId="3CCF3845" w14:textId="1DF9ACC6" w:rsidR="006E1833" w:rsidRDefault="006E1833" w:rsidP="00071363">
            <w:r>
              <w:t>Date</w:t>
            </w:r>
          </w:p>
        </w:tc>
        <w:tc>
          <w:tcPr>
            <w:tcW w:w="992" w:type="dxa"/>
          </w:tcPr>
          <w:p w14:paraId="74AE7605" w14:textId="6287C3A5" w:rsidR="006E1833" w:rsidRDefault="006E1833" w:rsidP="00071363">
            <w:r>
              <w:t>Record Class</w:t>
            </w:r>
          </w:p>
        </w:tc>
        <w:tc>
          <w:tcPr>
            <w:tcW w:w="3402" w:type="dxa"/>
          </w:tcPr>
          <w:p w14:paraId="63F29E8B" w14:textId="55A57BAE" w:rsidR="006E1833" w:rsidRDefault="006E1833" w:rsidP="00071363">
            <w:r>
              <w:t>Description</w:t>
            </w:r>
          </w:p>
        </w:tc>
        <w:tc>
          <w:tcPr>
            <w:tcW w:w="1125" w:type="dxa"/>
          </w:tcPr>
          <w:p w14:paraId="6DB916BB" w14:textId="6E2825D3" w:rsidR="006E1833" w:rsidRDefault="006E1833" w:rsidP="00071363">
            <w:r>
              <w:t>Disposal Method</w:t>
            </w:r>
          </w:p>
        </w:tc>
        <w:tc>
          <w:tcPr>
            <w:tcW w:w="1275" w:type="dxa"/>
          </w:tcPr>
          <w:p w14:paraId="70A9F4C6" w14:textId="03EECB98" w:rsidR="006E1833" w:rsidRDefault="006E1833" w:rsidP="00071363">
            <w:r>
              <w:t>Authorised by</w:t>
            </w:r>
          </w:p>
        </w:tc>
        <w:tc>
          <w:tcPr>
            <w:tcW w:w="1488" w:type="dxa"/>
          </w:tcPr>
          <w:p w14:paraId="43203F0C" w14:textId="26A2ADC7" w:rsidR="006E1833" w:rsidRDefault="006E1833" w:rsidP="00071363">
            <w:r>
              <w:t>Certificate of Destruction (Y/N)</w:t>
            </w:r>
          </w:p>
        </w:tc>
      </w:tr>
      <w:tr w:rsidR="006E1833" w14:paraId="2D44F5EF" w14:textId="77777777" w:rsidTr="7387A2EB">
        <w:tc>
          <w:tcPr>
            <w:tcW w:w="704" w:type="dxa"/>
          </w:tcPr>
          <w:p w14:paraId="06BE57EE" w14:textId="77777777" w:rsidR="006E1833" w:rsidRDefault="006E1833" w:rsidP="00071363"/>
        </w:tc>
        <w:tc>
          <w:tcPr>
            <w:tcW w:w="992" w:type="dxa"/>
          </w:tcPr>
          <w:p w14:paraId="4F3FE887" w14:textId="77777777" w:rsidR="006E1833" w:rsidRDefault="006E1833" w:rsidP="00071363"/>
        </w:tc>
        <w:tc>
          <w:tcPr>
            <w:tcW w:w="3402" w:type="dxa"/>
          </w:tcPr>
          <w:p w14:paraId="61C85D2E" w14:textId="77777777" w:rsidR="006E1833" w:rsidRDefault="006E1833" w:rsidP="00071363"/>
        </w:tc>
        <w:tc>
          <w:tcPr>
            <w:tcW w:w="1125" w:type="dxa"/>
          </w:tcPr>
          <w:p w14:paraId="5EAB9B41" w14:textId="77777777" w:rsidR="006E1833" w:rsidRDefault="006E1833" w:rsidP="00071363"/>
        </w:tc>
        <w:tc>
          <w:tcPr>
            <w:tcW w:w="1275" w:type="dxa"/>
          </w:tcPr>
          <w:p w14:paraId="786FFBE1" w14:textId="77777777" w:rsidR="006E1833" w:rsidRDefault="006E1833" w:rsidP="00071363"/>
        </w:tc>
        <w:tc>
          <w:tcPr>
            <w:tcW w:w="1488" w:type="dxa"/>
          </w:tcPr>
          <w:p w14:paraId="7B1EDCD2" w14:textId="77777777" w:rsidR="006E1833" w:rsidRDefault="006E1833" w:rsidP="00071363"/>
        </w:tc>
      </w:tr>
      <w:tr w:rsidR="006E1833" w14:paraId="6074906F" w14:textId="77777777" w:rsidTr="7387A2EB">
        <w:tc>
          <w:tcPr>
            <w:tcW w:w="704" w:type="dxa"/>
          </w:tcPr>
          <w:p w14:paraId="499B9ACE" w14:textId="77777777" w:rsidR="006E1833" w:rsidRDefault="006E1833" w:rsidP="00071363"/>
        </w:tc>
        <w:tc>
          <w:tcPr>
            <w:tcW w:w="992" w:type="dxa"/>
          </w:tcPr>
          <w:p w14:paraId="718EA786" w14:textId="77777777" w:rsidR="006E1833" w:rsidRDefault="006E1833" w:rsidP="00071363"/>
        </w:tc>
        <w:tc>
          <w:tcPr>
            <w:tcW w:w="3402" w:type="dxa"/>
          </w:tcPr>
          <w:p w14:paraId="08BDC5F4" w14:textId="77777777" w:rsidR="006E1833" w:rsidRDefault="006E1833" w:rsidP="00071363"/>
        </w:tc>
        <w:tc>
          <w:tcPr>
            <w:tcW w:w="1125" w:type="dxa"/>
          </w:tcPr>
          <w:p w14:paraId="735FE84C" w14:textId="77777777" w:rsidR="006E1833" w:rsidRDefault="006E1833" w:rsidP="00071363"/>
        </w:tc>
        <w:tc>
          <w:tcPr>
            <w:tcW w:w="1275" w:type="dxa"/>
          </w:tcPr>
          <w:p w14:paraId="415F9077" w14:textId="77777777" w:rsidR="006E1833" w:rsidRDefault="006E1833" w:rsidP="00071363"/>
        </w:tc>
        <w:tc>
          <w:tcPr>
            <w:tcW w:w="1488" w:type="dxa"/>
          </w:tcPr>
          <w:p w14:paraId="0A35EB97" w14:textId="77777777" w:rsidR="006E1833" w:rsidRDefault="006E1833" w:rsidP="00071363"/>
        </w:tc>
      </w:tr>
      <w:tr w:rsidR="006E1833" w14:paraId="16D6DC88" w14:textId="77777777" w:rsidTr="7387A2EB">
        <w:tc>
          <w:tcPr>
            <w:tcW w:w="704" w:type="dxa"/>
          </w:tcPr>
          <w:p w14:paraId="72D5D23B" w14:textId="77777777" w:rsidR="006E1833" w:rsidRDefault="006E1833" w:rsidP="00071363"/>
        </w:tc>
        <w:tc>
          <w:tcPr>
            <w:tcW w:w="992" w:type="dxa"/>
          </w:tcPr>
          <w:p w14:paraId="0FEF0E75" w14:textId="77777777" w:rsidR="006E1833" w:rsidRDefault="006E1833" w:rsidP="00071363"/>
        </w:tc>
        <w:tc>
          <w:tcPr>
            <w:tcW w:w="3402" w:type="dxa"/>
          </w:tcPr>
          <w:p w14:paraId="610A5D11" w14:textId="77777777" w:rsidR="006E1833" w:rsidRDefault="006E1833" w:rsidP="00071363"/>
        </w:tc>
        <w:tc>
          <w:tcPr>
            <w:tcW w:w="1125" w:type="dxa"/>
          </w:tcPr>
          <w:p w14:paraId="65A148B7" w14:textId="77777777" w:rsidR="006E1833" w:rsidRDefault="006E1833" w:rsidP="00071363"/>
        </w:tc>
        <w:tc>
          <w:tcPr>
            <w:tcW w:w="1275" w:type="dxa"/>
          </w:tcPr>
          <w:p w14:paraId="776F71C3" w14:textId="77777777" w:rsidR="006E1833" w:rsidRDefault="006E1833" w:rsidP="00071363"/>
        </w:tc>
        <w:tc>
          <w:tcPr>
            <w:tcW w:w="1488" w:type="dxa"/>
          </w:tcPr>
          <w:p w14:paraId="096C4B84" w14:textId="77777777" w:rsidR="006E1833" w:rsidRDefault="006E1833" w:rsidP="00071363"/>
        </w:tc>
      </w:tr>
      <w:tr w:rsidR="006E1833" w14:paraId="21B4D7CC" w14:textId="77777777" w:rsidTr="7387A2EB">
        <w:tc>
          <w:tcPr>
            <w:tcW w:w="704" w:type="dxa"/>
          </w:tcPr>
          <w:p w14:paraId="4BD7109E" w14:textId="77777777" w:rsidR="006E1833" w:rsidRDefault="006E1833" w:rsidP="00071363"/>
        </w:tc>
        <w:tc>
          <w:tcPr>
            <w:tcW w:w="992" w:type="dxa"/>
          </w:tcPr>
          <w:p w14:paraId="14A5549E" w14:textId="77777777" w:rsidR="006E1833" w:rsidRDefault="006E1833" w:rsidP="00071363"/>
        </w:tc>
        <w:tc>
          <w:tcPr>
            <w:tcW w:w="3402" w:type="dxa"/>
          </w:tcPr>
          <w:p w14:paraId="25ABF55C" w14:textId="77777777" w:rsidR="006E1833" w:rsidRDefault="006E1833" w:rsidP="00071363"/>
        </w:tc>
        <w:tc>
          <w:tcPr>
            <w:tcW w:w="1125" w:type="dxa"/>
          </w:tcPr>
          <w:p w14:paraId="50F09A98" w14:textId="77777777" w:rsidR="006E1833" w:rsidRDefault="006E1833" w:rsidP="00071363"/>
        </w:tc>
        <w:tc>
          <w:tcPr>
            <w:tcW w:w="1275" w:type="dxa"/>
          </w:tcPr>
          <w:p w14:paraId="3967A0B2" w14:textId="77777777" w:rsidR="006E1833" w:rsidRDefault="006E1833" w:rsidP="00071363"/>
        </w:tc>
        <w:tc>
          <w:tcPr>
            <w:tcW w:w="1488" w:type="dxa"/>
          </w:tcPr>
          <w:p w14:paraId="578CA095" w14:textId="77777777" w:rsidR="006E1833" w:rsidRDefault="006E1833" w:rsidP="00071363"/>
        </w:tc>
      </w:tr>
      <w:tr w:rsidR="006E1833" w14:paraId="421F9143" w14:textId="77777777" w:rsidTr="7387A2EB">
        <w:tc>
          <w:tcPr>
            <w:tcW w:w="704" w:type="dxa"/>
          </w:tcPr>
          <w:p w14:paraId="31C7841A" w14:textId="77777777" w:rsidR="006E1833" w:rsidRDefault="006E1833" w:rsidP="00071363"/>
        </w:tc>
        <w:tc>
          <w:tcPr>
            <w:tcW w:w="992" w:type="dxa"/>
          </w:tcPr>
          <w:p w14:paraId="4E23AEDD" w14:textId="77777777" w:rsidR="006E1833" w:rsidRDefault="006E1833" w:rsidP="00071363"/>
        </w:tc>
        <w:tc>
          <w:tcPr>
            <w:tcW w:w="3402" w:type="dxa"/>
          </w:tcPr>
          <w:p w14:paraId="49F830D2" w14:textId="77777777" w:rsidR="006E1833" w:rsidRDefault="006E1833" w:rsidP="00071363"/>
        </w:tc>
        <w:tc>
          <w:tcPr>
            <w:tcW w:w="1125" w:type="dxa"/>
          </w:tcPr>
          <w:p w14:paraId="5175CEA4" w14:textId="77777777" w:rsidR="006E1833" w:rsidRDefault="006E1833" w:rsidP="00071363"/>
        </w:tc>
        <w:tc>
          <w:tcPr>
            <w:tcW w:w="1275" w:type="dxa"/>
          </w:tcPr>
          <w:p w14:paraId="2F854810" w14:textId="77777777" w:rsidR="006E1833" w:rsidRDefault="006E1833" w:rsidP="00071363"/>
        </w:tc>
        <w:tc>
          <w:tcPr>
            <w:tcW w:w="1488" w:type="dxa"/>
          </w:tcPr>
          <w:p w14:paraId="272A6987" w14:textId="77777777" w:rsidR="006E1833" w:rsidRDefault="006E1833" w:rsidP="00071363"/>
        </w:tc>
      </w:tr>
      <w:tr w:rsidR="00FB2928" w14:paraId="552DEB2D" w14:textId="77777777" w:rsidTr="7387A2EB">
        <w:tc>
          <w:tcPr>
            <w:tcW w:w="704" w:type="dxa"/>
          </w:tcPr>
          <w:p w14:paraId="37E05122" w14:textId="77777777" w:rsidR="00FB2928" w:rsidRDefault="00FB2928" w:rsidP="00071363"/>
        </w:tc>
        <w:tc>
          <w:tcPr>
            <w:tcW w:w="992" w:type="dxa"/>
          </w:tcPr>
          <w:p w14:paraId="339569C2" w14:textId="77777777" w:rsidR="00FB2928" w:rsidRDefault="00FB2928" w:rsidP="00071363"/>
        </w:tc>
        <w:tc>
          <w:tcPr>
            <w:tcW w:w="3402" w:type="dxa"/>
          </w:tcPr>
          <w:p w14:paraId="0606FA3E" w14:textId="77777777" w:rsidR="00FB2928" w:rsidRDefault="00FB2928" w:rsidP="00071363"/>
        </w:tc>
        <w:tc>
          <w:tcPr>
            <w:tcW w:w="1125" w:type="dxa"/>
          </w:tcPr>
          <w:p w14:paraId="54BAC9EE" w14:textId="77777777" w:rsidR="00FB2928" w:rsidRDefault="00FB2928" w:rsidP="00071363"/>
        </w:tc>
        <w:tc>
          <w:tcPr>
            <w:tcW w:w="1275" w:type="dxa"/>
          </w:tcPr>
          <w:p w14:paraId="1CE18C26" w14:textId="77777777" w:rsidR="00FB2928" w:rsidRDefault="00FB2928" w:rsidP="00071363"/>
        </w:tc>
        <w:tc>
          <w:tcPr>
            <w:tcW w:w="1488" w:type="dxa"/>
          </w:tcPr>
          <w:p w14:paraId="13CA5BBC" w14:textId="77777777" w:rsidR="00FB2928" w:rsidRDefault="00FB2928" w:rsidP="00071363"/>
        </w:tc>
      </w:tr>
      <w:tr w:rsidR="00FB2928" w14:paraId="65106CBD" w14:textId="77777777" w:rsidTr="7387A2EB">
        <w:tc>
          <w:tcPr>
            <w:tcW w:w="704" w:type="dxa"/>
          </w:tcPr>
          <w:p w14:paraId="5634F934" w14:textId="77777777" w:rsidR="00FB2928" w:rsidRDefault="00FB2928" w:rsidP="00071363"/>
        </w:tc>
        <w:tc>
          <w:tcPr>
            <w:tcW w:w="992" w:type="dxa"/>
          </w:tcPr>
          <w:p w14:paraId="4949153C" w14:textId="77777777" w:rsidR="00FB2928" w:rsidRDefault="00FB2928" w:rsidP="00071363"/>
        </w:tc>
        <w:tc>
          <w:tcPr>
            <w:tcW w:w="3402" w:type="dxa"/>
          </w:tcPr>
          <w:p w14:paraId="13C0745E" w14:textId="77777777" w:rsidR="00FB2928" w:rsidRDefault="00FB2928" w:rsidP="00071363"/>
        </w:tc>
        <w:tc>
          <w:tcPr>
            <w:tcW w:w="1125" w:type="dxa"/>
          </w:tcPr>
          <w:p w14:paraId="593CFE42" w14:textId="77777777" w:rsidR="00FB2928" w:rsidRDefault="00FB2928" w:rsidP="00071363"/>
        </w:tc>
        <w:tc>
          <w:tcPr>
            <w:tcW w:w="1275" w:type="dxa"/>
          </w:tcPr>
          <w:p w14:paraId="13F30817" w14:textId="77777777" w:rsidR="00FB2928" w:rsidRDefault="00FB2928" w:rsidP="00071363"/>
        </w:tc>
        <w:tc>
          <w:tcPr>
            <w:tcW w:w="1488" w:type="dxa"/>
          </w:tcPr>
          <w:p w14:paraId="6D8A1339" w14:textId="77777777" w:rsidR="00FB2928" w:rsidRDefault="00FB2928" w:rsidP="00071363"/>
        </w:tc>
      </w:tr>
      <w:tr w:rsidR="00FB2928" w14:paraId="71B34624" w14:textId="77777777" w:rsidTr="7387A2EB">
        <w:tc>
          <w:tcPr>
            <w:tcW w:w="704" w:type="dxa"/>
          </w:tcPr>
          <w:p w14:paraId="7654396B" w14:textId="77777777" w:rsidR="00FB2928" w:rsidRDefault="00FB2928" w:rsidP="00071363"/>
        </w:tc>
        <w:tc>
          <w:tcPr>
            <w:tcW w:w="992" w:type="dxa"/>
          </w:tcPr>
          <w:p w14:paraId="182BC5A5" w14:textId="77777777" w:rsidR="00FB2928" w:rsidRDefault="00FB2928" w:rsidP="00071363"/>
        </w:tc>
        <w:tc>
          <w:tcPr>
            <w:tcW w:w="3402" w:type="dxa"/>
          </w:tcPr>
          <w:p w14:paraId="624A0383" w14:textId="77777777" w:rsidR="00FB2928" w:rsidRDefault="00FB2928" w:rsidP="00071363"/>
        </w:tc>
        <w:tc>
          <w:tcPr>
            <w:tcW w:w="1125" w:type="dxa"/>
          </w:tcPr>
          <w:p w14:paraId="4C7597C0" w14:textId="77777777" w:rsidR="00FB2928" w:rsidRDefault="00FB2928" w:rsidP="00071363"/>
        </w:tc>
        <w:tc>
          <w:tcPr>
            <w:tcW w:w="1275" w:type="dxa"/>
          </w:tcPr>
          <w:p w14:paraId="564B6E73" w14:textId="77777777" w:rsidR="00FB2928" w:rsidRDefault="00FB2928" w:rsidP="00071363"/>
        </w:tc>
        <w:tc>
          <w:tcPr>
            <w:tcW w:w="1488" w:type="dxa"/>
          </w:tcPr>
          <w:p w14:paraId="26D9197B" w14:textId="77777777" w:rsidR="00FB2928" w:rsidRDefault="00FB2928" w:rsidP="00071363"/>
        </w:tc>
      </w:tr>
    </w:tbl>
    <w:p w14:paraId="13F96159" w14:textId="67BD1722" w:rsidR="7387A2EB" w:rsidRDefault="7387A2EB" w:rsidP="7387A2EB">
      <w:pPr>
        <w:rPr>
          <w:rFonts w:ascii="Aptos" w:eastAsia="Aptos" w:hAnsi="Aptos" w:cs="Aptos"/>
          <w:b/>
          <w:bCs/>
          <w:color w:val="000000" w:themeColor="text1"/>
          <w:sz w:val="20"/>
          <w:szCs w:val="20"/>
        </w:rPr>
      </w:pPr>
    </w:p>
    <w:p w14:paraId="78A1EC07" w14:textId="081BDCA5" w:rsidR="5324E324" w:rsidRDefault="5324E324" w:rsidP="7387A2EB">
      <w:pPr>
        <w:rPr>
          <w:rFonts w:ascii="Aptos" w:eastAsia="Aptos" w:hAnsi="Aptos" w:cs="Aptos"/>
        </w:rPr>
      </w:pPr>
      <w:r w:rsidRPr="7387A2EB">
        <w:rPr>
          <w:rFonts w:ascii="Aptos" w:eastAsia="Aptos" w:hAnsi="Aptos" w:cs="Aptos"/>
          <w:b/>
          <w:bCs/>
          <w:color w:val="000000" w:themeColor="text1"/>
          <w:sz w:val="20"/>
          <w:szCs w:val="20"/>
        </w:rPr>
        <w:t>Disclaimer</w:t>
      </w:r>
      <w:r>
        <w:br/>
      </w:r>
      <w:r w:rsidRPr="7387A2EB">
        <w:rPr>
          <w:rFonts w:ascii="Aptos" w:eastAsia="Aptos" w:hAnsi="Aptos" w:cs="Aptos"/>
          <w:color w:val="000000" w:themeColor="text1"/>
          <w:sz w:val="20"/>
          <w:szCs w:val="20"/>
        </w:rPr>
        <w:t>In the absence of NALC model policies for all areas of core and recommended council governance, GAPTC has prepared this policy by studying a cross-section of parish and town council policies available online, identifying their strengths, common pitfalls, and where scope might need to be broadened to be fully effective. Drafting has been assisted by AI tools, and the content has not been assessed by a legal expert. Councils are strongly encouraged to tailor and customise this policy to suit their individual circumstances, activities, and risk profile, and to seek independent legal or professional advice where necessary.</w:t>
      </w:r>
    </w:p>
    <w:sectPr w:rsidR="5324E32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DA56" w14:textId="77777777" w:rsidR="00C608F2" w:rsidRDefault="00C608F2" w:rsidP="000E610A">
      <w:pPr>
        <w:spacing w:after="0" w:line="240" w:lineRule="auto"/>
      </w:pPr>
      <w:r>
        <w:separator/>
      </w:r>
    </w:p>
  </w:endnote>
  <w:endnote w:type="continuationSeparator" w:id="0">
    <w:p w14:paraId="707845E5" w14:textId="77777777" w:rsidR="00C608F2" w:rsidRDefault="00C608F2" w:rsidP="000E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079" w14:textId="7B951FA1" w:rsidR="000E610A" w:rsidRPr="000E610A" w:rsidRDefault="000E610A" w:rsidP="000E610A">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3D52" w14:textId="77777777" w:rsidR="00C608F2" w:rsidRDefault="00C608F2" w:rsidP="000E610A">
      <w:pPr>
        <w:spacing w:after="0" w:line="240" w:lineRule="auto"/>
      </w:pPr>
      <w:r>
        <w:separator/>
      </w:r>
    </w:p>
  </w:footnote>
  <w:footnote w:type="continuationSeparator" w:id="0">
    <w:p w14:paraId="0089564C" w14:textId="77777777" w:rsidR="00C608F2" w:rsidRDefault="00C608F2" w:rsidP="000E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FDBD" w14:textId="77777777" w:rsidR="000E610A" w:rsidRDefault="000E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60130"/>
    <w:multiLevelType w:val="multilevel"/>
    <w:tmpl w:val="7AA2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06144"/>
    <w:multiLevelType w:val="multilevel"/>
    <w:tmpl w:val="5912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05A9A"/>
    <w:multiLevelType w:val="multilevel"/>
    <w:tmpl w:val="0CF8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96397"/>
    <w:multiLevelType w:val="multilevel"/>
    <w:tmpl w:val="8872151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3D00282"/>
    <w:multiLevelType w:val="multilevel"/>
    <w:tmpl w:val="A51C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032F3"/>
    <w:multiLevelType w:val="multilevel"/>
    <w:tmpl w:val="C806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2510B"/>
    <w:multiLevelType w:val="multilevel"/>
    <w:tmpl w:val="D82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42C3D"/>
    <w:multiLevelType w:val="multilevel"/>
    <w:tmpl w:val="9D6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46414"/>
    <w:multiLevelType w:val="hybridMultilevel"/>
    <w:tmpl w:val="2CA4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332B9"/>
    <w:multiLevelType w:val="multilevel"/>
    <w:tmpl w:val="340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6544">
    <w:abstractNumId w:val="8"/>
  </w:num>
  <w:num w:numId="2" w16cid:durableId="125972810">
    <w:abstractNumId w:val="1"/>
  </w:num>
  <w:num w:numId="3" w16cid:durableId="1628587788">
    <w:abstractNumId w:val="4"/>
  </w:num>
  <w:num w:numId="4" w16cid:durableId="210461672">
    <w:abstractNumId w:val="7"/>
  </w:num>
  <w:num w:numId="5" w16cid:durableId="1828858260">
    <w:abstractNumId w:val="9"/>
  </w:num>
  <w:num w:numId="6" w16cid:durableId="1981497902">
    <w:abstractNumId w:val="5"/>
  </w:num>
  <w:num w:numId="7" w16cid:durableId="905072182">
    <w:abstractNumId w:val="2"/>
  </w:num>
  <w:num w:numId="8" w16cid:durableId="879711594">
    <w:abstractNumId w:val="6"/>
  </w:num>
  <w:num w:numId="9" w16cid:durableId="36321453">
    <w:abstractNumId w:val="0"/>
  </w:num>
  <w:num w:numId="10" w16cid:durableId="1477448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A"/>
    <w:rsid w:val="00022388"/>
    <w:rsid w:val="00071363"/>
    <w:rsid w:val="000B752B"/>
    <w:rsid w:val="000E610A"/>
    <w:rsid w:val="0017597D"/>
    <w:rsid w:val="001A6D13"/>
    <w:rsid w:val="001D0EE4"/>
    <w:rsid w:val="0021445C"/>
    <w:rsid w:val="0028318F"/>
    <w:rsid w:val="00317258"/>
    <w:rsid w:val="003A097A"/>
    <w:rsid w:val="003E2684"/>
    <w:rsid w:val="00453B00"/>
    <w:rsid w:val="004C2A57"/>
    <w:rsid w:val="004D6779"/>
    <w:rsid w:val="00506DD6"/>
    <w:rsid w:val="005210EC"/>
    <w:rsid w:val="006B42AE"/>
    <w:rsid w:val="006E1833"/>
    <w:rsid w:val="00773531"/>
    <w:rsid w:val="007A69C1"/>
    <w:rsid w:val="00892142"/>
    <w:rsid w:val="00AA29C1"/>
    <w:rsid w:val="00BA32E8"/>
    <w:rsid w:val="00C01186"/>
    <w:rsid w:val="00C04BC8"/>
    <w:rsid w:val="00C52624"/>
    <w:rsid w:val="00C608F2"/>
    <w:rsid w:val="00EC0234"/>
    <w:rsid w:val="00EC71AC"/>
    <w:rsid w:val="00F8132E"/>
    <w:rsid w:val="00FB2928"/>
    <w:rsid w:val="00FF7699"/>
    <w:rsid w:val="36E569DF"/>
    <w:rsid w:val="5324E324"/>
    <w:rsid w:val="5AE01629"/>
    <w:rsid w:val="5D544F47"/>
    <w:rsid w:val="7387A2EB"/>
    <w:rsid w:val="7592D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DDDB"/>
  <w15:chartTrackingRefBased/>
  <w15:docId w15:val="{3E4748E1-D758-404A-B6A3-314E311E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00"/>
    <w:rPr>
      <w:kern w:val="0"/>
      <w14:ligatures w14:val="none"/>
    </w:rPr>
  </w:style>
  <w:style w:type="paragraph" w:styleId="Heading1">
    <w:name w:val="heading 1"/>
    <w:basedOn w:val="Normal"/>
    <w:next w:val="Normal"/>
    <w:link w:val="Heading1Char"/>
    <w:uiPriority w:val="9"/>
    <w:qFormat/>
    <w:rsid w:val="000E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0A"/>
    <w:rPr>
      <w:rFonts w:eastAsiaTheme="majorEastAsia" w:cstheme="majorBidi"/>
      <w:color w:val="272727" w:themeColor="text1" w:themeTint="D8"/>
    </w:rPr>
  </w:style>
  <w:style w:type="paragraph" w:styleId="Title">
    <w:name w:val="Title"/>
    <w:basedOn w:val="Normal"/>
    <w:next w:val="Normal"/>
    <w:link w:val="TitleChar"/>
    <w:uiPriority w:val="10"/>
    <w:qFormat/>
    <w:rsid w:val="000E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0A"/>
    <w:pPr>
      <w:spacing w:before="160"/>
      <w:jc w:val="center"/>
    </w:pPr>
    <w:rPr>
      <w:i/>
      <w:iCs/>
      <w:color w:val="404040" w:themeColor="text1" w:themeTint="BF"/>
    </w:rPr>
  </w:style>
  <w:style w:type="character" w:customStyle="1" w:styleId="QuoteChar">
    <w:name w:val="Quote Char"/>
    <w:basedOn w:val="DefaultParagraphFont"/>
    <w:link w:val="Quote"/>
    <w:uiPriority w:val="29"/>
    <w:rsid w:val="000E610A"/>
    <w:rPr>
      <w:i/>
      <w:iCs/>
      <w:color w:val="404040" w:themeColor="text1" w:themeTint="BF"/>
    </w:rPr>
  </w:style>
  <w:style w:type="paragraph" w:styleId="ListParagraph">
    <w:name w:val="List Paragraph"/>
    <w:basedOn w:val="Normal"/>
    <w:uiPriority w:val="34"/>
    <w:qFormat/>
    <w:rsid w:val="000E610A"/>
    <w:pPr>
      <w:ind w:left="720"/>
      <w:contextualSpacing/>
    </w:pPr>
  </w:style>
  <w:style w:type="character" w:styleId="IntenseEmphasis">
    <w:name w:val="Intense Emphasis"/>
    <w:basedOn w:val="DefaultParagraphFont"/>
    <w:uiPriority w:val="21"/>
    <w:qFormat/>
    <w:rsid w:val="000E610A"/>
    <w:rPr>
      <w:i/>
      <w:iCs/>
      <w:color w:val="0F4761" w:themeColor="accent1" w:themeShade="BF"/>
    </w:rPr>
  </w:style>
  <w:style w:type="paragraph" w:styleId="IntenseQuote">
    <w:name w:val="Intense Quote"/>
    <w:basedOn w:val="Normal"/>
    <w:next w:val="Normal"/>
    <w:link w:val="IntenseQuoteChar"/>
    <w:uiPriority w:val="30"/>
    <w:qFormat/>
    <w:rsid w:val="000E6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0A"/>
    <w:rPr>
      <w:i/>
      <w:iCs/>
      <w:color w:val="0F4761" w:themeColor="accent1" w:themeShade="BF"/>
    </w:rPr>
  </w:style>
  <w:style w:type="character" w:styleId="IntenseReference">
    <w:name w:val="Intense Reference"/>
    <w:basedOn w:val="DefaultParagraphFont"/>
    <w:uiPriority w:val="32"/>
    <w:qFormat/>
    <w:rsid w:val="000E610A"/>
    <w:rPr>
      <w:b/>
      <w:bCs/>
      <w:smallCaps/>
      <w:color w:val="0F4761" w:themeColor="accent1" w:themeShade="BF"/>
      <w:spacing w:val="5"/>
    </w:rPr>
  </w:style>
  <w:style w:type="paragraph" w:styleId="Header">
    <w:name w:val="header"/>
    <w:basedOn w:val="Normal"/>
    <w:link w:val="HeaderChar"/>
    <w:uiPriority w:val="99"/>
    <w:unhideWhenUsed/>
    <w:rsid w:val="000E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A"/>
  </w:style>
  <w:style w:type="paragraph" w:styleId="Footer">
    <w:name w:val="footer"/>
    <w:basedOn w:val="Normal"/>
    <w:link w:val="FooterChar"/>
    <w:uiPriority w:val="99"/>
    <w:unhideWhenUsed/>
    <w:rsid w:val="000E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0A"/>
  </w:style>
  <w:style w:type="character" w:styleId="Hyperlink">
    <w:name w:val="Hyperlink"/>
    <w:basedOn w:val="DefaultParagraphFont"/>
    <w:uiPriority w:val="99"/>
    <w:unhideWhenUsed/>
    <w:rsid w:val="000E610A"/>
    <w:rPr>
      <w:color w:val="467886" w:themeColor="hyperlink"/>
      <w:u w:val="single"/>
    </w:rPr>
  </w:style>
  <w:style w:type="character" w:styleId="UnresolvedMention">
    <w:name w:val="Unresolved Mention"/>
    <w:basedOn w:val="DefaultParagraphFont"/>
    <w:uiPriority w:val="99"/>
    <w:semiHidden/>
    <w:unhideWhenUsed/>
    <w:rsid w:val="000E610A"/>
    <w:rPr>
      <w:color w:val="605E5C"/>
      <w:shd w:val="clear" w:color="auto" w:fill="E1DFDD"/>
    </w:rPr>
  </w:style>
  <w:style w:type="table" w:styleId="TableGrid">
    <w:name w:val="Table Grid"/>
    <w:basedOn w:val="TableNormal"/>
    <w:uiPriority w:val="39"/>
    <w:rsid w:val="00453B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B00"/>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45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A8AB0D08E0D48B8361A3F2D6243B2" ma:contentTypeVersion="13" ma:contentTypeDescription="Create a new document." ma:contentTypeScope="" ma:versionID="e591e2dafa50ac22ac5c0cfae26c1f0d">
  <xsd:schema xmlns:xsd="http://www.w3.org/2001/XMLSchema" xmlns:xs="http://www.w3.org/2001/XMLSchema" xmlns:p="http://schemas.microsoft.com/office/2006/metadata/properties" xmlns:ns2="3bfec4c2-d353-4ff6-aedb-b1426499b7b2" xmlns:ns3="59c899d9-daa3-4355-9de6-1208d30e8191" targetNamespace="http://schemas.microsoft.com/office/2006/metadata/properties" ma:root="true" ma:fieldsID="c7024bde480ed5dfbb842167d2385d99" ns2:_="" ns3:_="">
    <xsd:import namespace="3bfec4c2-d353-4ff6-aedb-b1426499b7b2"/>
    <xsd:import namespace="59c899d9-daa3-4355-9de6-1208d30e8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c4c2-d353-4ff6-aedb-b1426499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a3e785-fc40-408d-970b-98382e1e80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899d9-daa3-4355-9de6-1208d30e8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515062-8e75-4955-a942-48c0fdd510c7}" ma:internalName="TaxCatchAll" ma:showField="CatchAllData" ma:web="59c899d9-daa3-4355-9de6-1208d30e8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ec4c2-d353-4ff6-aedb-b1426499b7b2">
      <Terms xmlns="http://schemas.microsoft.com/office/infopath/2007/PartnerControls"/>
    </lcf76f155ced4ddcb4097134ff3c332f>
    <TaxCatchAll xmlns="59c899d9-daa3-4355-9de6-1208d30e8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E00E9-1340-4C4A-A143-577001C95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c4c2-d353-4ff6-aedb-b1426499b7b2"/>
    <ds:schemaRef ds:uri="59c899d9-daa3-4355-9de6-1208d30e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9B23D-AA59-44AD-BDB3-DD8489C4E4B9}">
  <ds:schemaRefs>
    <ds:schemaRef ds:uri="http://schemas.microsoft.com/office/2006/metadata/properties"/>
    <ds:schemaRef ds:uri="http://schemas.microsoft.com/office/infopath/2007/PartnerControls"/>
    <ds:schemaRef ds:uri="3bfec4c2-d353-4ff6-aedb-b1426499b7b2"/>
    <ds:schemaRef ds:uri="59c899d9-daa3-4355-9de6-1208d30e8191"/>
  </ds:schemaRefs>
</ds:datastoreItem>
</file>

<file path=customXml/itemProps3.xml><?xml version="1.0" encoding="utf-8"?>
<ds:datastoreItem xmlns:ds="http://schemas.openxmlformats.org/officeDocument/2006/customXml" ds:itemID="{298536FD-1285-43A8-BCE5-10BF946C1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dc:description/>
  <cp:lastModifiedBy>Clerks</cp:lastModifiedBy>
  <cp:revision>2</cp:revision>
  <dcterms:created xsi:type="dcterms:W3CDTF">2026-02-27T12:39:00Z</dcterms:created>
  <dcterms:modified xsi:type="dcterms:W3CDTF">2026-02-27T12:39:00Z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0x010100082A8AB0D08E0D48B8361A3F2D6243B2</vt:lpwstr>
  </property>
  <property fmtid="{D5CDD505-2E9C-101B-9397-08002B2CF9AE}" pid="3" name="MediaServiceImageTags">
    <vt:lpwstr/>
  </property>
</Properties>
</file>